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3" w:rsidRDefault="00E62E26" w:rsidP="00E62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KARCINOM LARINKSA</w:t>
      </w:r>
    </w:p>
    <w:p w:rsidR="001E7627" w:rsidRDefault="001E7627" w:rsidP="00E62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LARYNGEAL CANCER</w:t>
      </w:r>
    </w:p>
    <w:p w:rsidR="001E7627" w:rsidRDefault="00E62E26" w:rsidP="00E62E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Mario Bilić</w:t>
      </w:r>
      <w:r w:rsidR="001E762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62E26" w:rsidRDefault="00E62E26" w:rsidP="00E62E2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Davor Vagić</w:t>
      </w:r>
      <w:r w:rsidR="001E76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E7627" w:rsidRDefault="001E7627" w:rsidP="00E62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6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KBC Zagreb, Klinika za bolesti uha, nosa i grla i kirurgiju glave i vrata</w:t>
      </w:r>
    </w:p>
    <w:p w:rsidR="001E7627" w:rsidRPr="001E7627" w:rsidRDefault="001E7627" w:rsidP="00E62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KBC Sestre Milosrdnice, Klinika za otorinolaringologiju i kirurgiju glave i vrata</w:t>
      </w:r>
    </w:p>
    <w:p w:rsidR="00D35610" w:rsidRDefault="00D35610" w:rsidP="001E7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627" w:rsidRDefault="001E7627" w:rsidP="001E7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</w:t>
      </w:r>
    </w:p>
    <w:p w:rsidR="001E7627" w:rsidRDefault="001E7627" w:rsidP="001E7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su službene smjernice Hrvatskog društva za otorinolaringologiju i kirurgiju glave i vrata za liječenje bolesnika s karcinomom grkljana u Republici Hrvatskoj. </w:t>
      </w:r>
      <w:r w:rsidR="00D846F2">
        <w:rPr>
          <w:rFonts w:ascii="Times New Roman" w:hAnsi="Times New Roman" w:cs="Times New Roman"/>
          <w:sz w:val="24"/>
          <w:szCs w:val="24"/>
        </w:rPr>
        <w:t xml:space="preserve">Liječenje karcinoma larinksa predstavlja izazov budući da je potrebno u cijelosti odstraniti tumor, a u isto vrijeme maksimalno sačuvati sve </w:t>
      </w:r>
      <w:proofErr w:type="spellStart"/>
      <w:r w:rsidR="00D846F2">
        <w:rPr>
          <w:rFonts w:ascii="Times New Roman" w:hAnsi="Times New Roman" w:cs="Times New Roman"/>
          <w:sz w:val="24"/>
          <w:szCs w:val="24"/>
        </w:rPr>
        <w:t>laringealne</w:t>
      </w:r>
      <w:proofErr w:type="spellEnd"/>
      <w:r w:rsidR="00D846F2">
        <w:rPr>
          <w:rFonts w:ascii="Times New Roman" w:hAnsi="Times New Roman" w:cs="Times New Roman"/>
          <w:sz w:val="24"/>
          <w:szCs w:val="24"/>
        </w:rPr>
        <w:t xml:space="preserve"> funkcije. To naočigled predstavlja jednostavni koncept liječenja, ali kako to postići i u isto vrijeme zadovoljiti onkološke postulate liječenja i sačuvati funkcije, nije jednostavno odgovoriti za bilo kojeg bolesnika s karcinomom larinksa, za što je potreban multidisciplinarni pristup i tim za svakog bolesnika. </w:t>
      </w:r>
      <w:r>
        <w:rPr>
          <w:rFonts w:ascii="Times New Roman" w:hAnsi="Times New Roman" w:cs="Times New Roman"/>
          <w:sz w:val="24"/>
          <w:szCs w:val="24"/>
        </w:rPr>
        <w:t xml:space="preserve">Smjernice sadržavaju novosti u dijagnostičkom i terapijskom pristupu navedenih bolesnika od zadnjih smjernica koje su bile usvojene 2012. godine na godišnjem sastanku u Vukovaru. </w:t>
      </w:r>
    </w:p>
    <w:p w:rsidR="001E7627" w:rsidRDefault="001E7627" w:rsidP="001E7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1E7627" w:rsidRDefault="001E7627" w:rsidP="00D846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endorsed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ENT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Croatia.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clinician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to cure</w:t>
      </w:r>
      <w:r w:rsid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whilst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maximal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Whilst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deciding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how</w:t>
      </w:r>
      <w:r w:rsidR="00D846F2">
        <w:rPr>
          <w:rFonts w:ascii="Times New Roman" w:hAnsi="Times New Roman" w:cs="Times New Roman"/>
          <w:sz w:val="24"/>
          <w:szCs w:val="24"/>
        </w:rPr>
        <w:t xml:space="preserve"> </w:t>
      </w:r>
      <w:r w:rsidR="00D846F2" w:rsidRPr="00D846F2">
        <w:rPr>
          <w:rFonts w:ascii="Times New Roman" w:hAnsi="Times New Roman" w:cs="Times New Roman"/>
          <w:sz w:val="24"/>
          <w:szCs w:val="24"/>
        </w:rPr>
        <w:t xml:space="preserve">best to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rehearsed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="00D846F2" w:rsidRPr="00D846F2">
        <w:rPr>
          <w:rFonts w:ascii="Times New Roman" w:hAnsi="Times New Roman" w:cs="Times New Roman"/>
          <w:sz w:val="24"/>
          <w:szCs w:val="24"/>
        </w:rPr>
        <w:t xml:space="preserve"> team (MDT) </w:t>
      </w:r>
      <w:proofErr w:type="spellStart"/>
      <w:r w:rsidR="00D846F2" w:rsidRPr="00D846F2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D846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updates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terapeutic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Vukovar 2011.</w:t>
      </w:r>
    </w:p>
    <w:p w:rsidR="003A1D1C" w:rsidRDefault="003A1D1C" w:rsidP="001E7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KLJUČNE RIJEČI</w:t>
      </w:r>
    </w:p>
    <w:p w:rsidR="003A1D1C" w:rsidRDefault="003A1D1C" w:rsidP="001E7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Karcinom larinksa, smjernice, Hrvatsko društvo za otorinolaringologiju i kirurgiju glave i vrata</w:t>
      </w:r>
    </w:p>
    <w:p w:rsidR="003A1D1C" w:rsidRDefault="003A1D1C" w:rsidP="001E7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</w:t>
      </w:r>
    </w:p>
    <w:p w:rsidR="003A1D1C" w:rsidRDefault="003A1D1C" w:rsidP="001E76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</w:t>
      </w:r>
      <w:r w:rsidR="00D3561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</w:p>
    <w:p w:rsidR="00D35610" w:rsidRDefault="00D35610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D35610">
        <w:rPr>
          <w:rFonts w:ascii="Times New Roman" w:hAnsi="Times New Roman" w:cs="Times New Roman"/>
          <w:sz w:val="24"/>
          <w:szCs w:val="24"/>
        </w:rPr>
        <w:t>Adresa za dopisivanje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Mario Bilić, KBC Zagreb, Klinika za bolesti uha, nosa i grla i kirurgiju glave i vrata,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Kišpatićeva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10000 Zagreb, e-mail: mbilic100@gmail.com</w:t>
      </w:r>
    </w:p>
    <w:p w:rsidR="00D35610" w:rsidRDefault="00D35610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D1C" w:rsidRDefault="003A1D1C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UVOD</w:t>
      </w:r>
    </w:p>
    <w:p w:rsidR="00E62E26" w:rsidRPr="003A1D1C" w:rsidRDefault="00E62E26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Karcinom larinksa čini 1 – 2 % svih zloćudnih tumora u čovjeku i predstavlja najčešću lokalizaciju zloćudnih tumora glave i vrata. Oko 95 – 99 % svih zloćudnih tumora larinksa čine karcinomi pločastih stanica. Rijedak je u mlađih osoba, najčešće se javlja u  osoba nakon 50. godine života i do 10 puta češće u muškaraca nego u žena, iako u zadnje vrijeme raste broj oboljelih žena. Najvažniji rizični čimbenik je pušenje, tako da pušači imaju 10 do 20 puta veći rizik nastanka karcinoma larinksa u odnosu na nepušače, te predstavlja neovisni rizični čimbenik za recidiv bolesti. Alkohol, sam ili u kombinaciji s pušenjem je također važan čimbenik u nastanku karcinoma, dok zasada nema potvrde o ulozi HPV na razvoj ovog karcinoma. Liječenje karcinoma larinksa predstavlja izazov budući da je potrebno u cijelosti odstraniti tumor</w:t>
      </w:r>
      <w:r w:rsidR="009100CE">
        <w:rPr>
          <w:rFonts w:ascii="Times New Roman" w:hAnsi="Times New Roman" w:cs="Times New Roman"/>
          <w:sz w:val="24"/>
          <w:szCs w:val="24"/>
        </w:rPr>
        <w:t xml:space="preserve">, a u isto vrijeme maksimalno sačuvati sve </w:t>
      </w:r>
      <w:proofErr w:type="spellStart"/>
      <w:r w:rsidR="009100CE">
        <w:rPr>
          <w:rFonts w:ascii="Times New Roman" w:hAnsi="Times New Roman" w:cs="Times New Roman"/>
          <w:sz w:val="24"/>
          <w:szCs w:val="24"/>
        </w:rPr>
        <w:t>laringealne</w:t>
      </w:r>
      <w:proofErr w:type="spellEnd"/>
      <w:r w:rsidR="009100CE">
        <w:rPr>
          <w:rFonts w:ascii="Times New Roman" w:hAnsi="Times New Roman" w:cs="Times New Roman"/>
          <w:sz w:val="24"/>
          <w:szCs w:val="24"/>
        </w:rPr>
        <w:t xml:space="preserve"> funkcije.</w:t>
      </w:r>
      <w:r w:rsidR="00CC2D85">
        <w:rPr>
          <w:rFonts w:ascii="Times New Roman" w:hAnsi="Times New Roman" w:cs="Times New Roman"/>
          <w:sz w:val="24"/>
          <w:szCs w:val="24"/>
        </w:rPr>
        <w:t xml:space="preserve"> To naočigled predstavlja jednostavni koncept liječenja, ali kako to postići i u isto vrijeme zadovoljiti onkološke postulate liječenja i sačuvati funkcije, nije jednostavno odgovoriti za bilo kojeg b</w:t>
      </w:r>
      <w:r w:rsidR="003A1D1C">
        <w:rPr>
          <w:rFonts w:ascii="Times New Roman" w:hAnsi="Times New Roman" w:cs="Times New Roman"/>
          <w:sz w:val="24"/>
          <w:szCs w:val="24"/>
        </w:rPr>
        <w:t>olesnika s karcinomom larinksa.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A1D1C" w:rsidRDefault="003A1D1C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KLINIČKA SLIKA</w:t>
      </w:r>
    </w:p>
    <w:p w:rsidR="00CC2D85" w:rsidRPr="003A1D1C" w:rsidRDefault="00CC2D85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Klinička slika je jako varijabilna i ovisi o lokalizaciji primarnog tumora i njegovoj veličini. Tumori u području </w:t>
      </w:r>
      <w:proofErr w:type="spellStart"/>
      <w:r>
        <w:rPr>
          <w:rFonts w:ascii="Times New Roman" w:hAnsi="Times New Roman" w:cs="Times New Roman"/>
          <w:sz w:val="24"/>
          <w:szCs w:val="24"/>
        </w:rPr>
        <w:t>glotisa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 u ranoj fazi bolesti se manifestiraju promuklošću, dok tumori u području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javljaju kasnije s nespecifičnih smetnjama poput otežanog gutanja,</w:t>
      </w:r>
      <w:r w:rsidR="009B6F48">
        <w:rPr>
          <w:rFonts w:ascii="Times New Roman" w:hAnsi="Times New Roman" w:cs="Times New Roman"/>
          <w:sz w:val="24"/>
          <w:szCs w:val="24"/>
        </w:rPr>
        <w:t xml:space="preserve"> osjećaja stranog tijela, bolova</w:t>
      </w:r>
      <w:r>
        <w:rPr>
          <w:rFonts w:ascii="Times New Roman" w:hAnsi="Times New Roman" w:cs="Times New Roman"/>
          <w:sz w:val="24"/>
          <w:szCs w:val="24"/>
        </w:rPr>
        <w:t xml:space="preserve"> i promuklošću. Međutim nije neobično da  se bolesnici prvi put javljaju kada je tumor u </w:t>
      </w:r>
      <w:proofErr w:type="spellStart"/>
      <w:r>
        <w:rPr>
          <w:rFonts w:ascii="Times New Roman" w:hAnsi="Times New Roman" w:cs="Times New Roman"/>
          <w:sz w:val="24"/>
          <w:szCs w:val="24"/>
        </w:rPr>
        <w:t>uznapredova</w:t>
      </w:r>
      <w:r w:rsidR="00341117">
        <w:rPr>
          <w:rFonts w:ascii="Times New Roman" w:hAnsi="Times New Roman" w:cs="Times New Roman"/>
          <w:sz w:val="24"/>
          <w:szCs w:val="24"/>
        </w:rPr>
        <w:t>loj</w:t>
      </w:r>
      <w:proofErr w:type="spellEnd"/>
      <w:r w:rsidR="00341117">
        <w:rPr>
          <w:rFonts w:ascii="Times New Roman" w:hAnsi="Times New Roman" w:cs="Times New Roman"/>
          <w:sz w:val="24"/>
          <w:szCs w:val="24"/>
        </w:rPr>
        <w:t xml:space="preserve"> fazi bolesti što se manifestira otežanim disanjem i gušenjem zbog opstrukcije gornjeg dišnog puta. </w:t>
      </w:r>
      <w:r w:rsidR="00910D6F">
        <w:rPr>
          <w:rFonts w:ascii="Times New Roman" w:hAnsi="Times New Roman" w:cs="Times New Roman"/>
          <w:sz w:val="24"/>
          <w:szCs w:val="24"/>
        </w:rPr>
        <w:t xml:space="preserve">U svrhu ranog otkrivanja tumora larinksa svakog bolesnika koji je promukao duže od 3 – 4 tjedna, posebno ako je pušač i stariji od 50 godina trebalo bi uputiti na specijalistički ORL pregled kako </w:t>
      </w:r>
      <w:r w:rsidR="003A1D1C">
        <w:rPr>
          <w:rFonts w:ascii="Times New Roman" w:hAnsi="Times New Roman" w:cs="Times New Roman"/>
          <w:sz w:val="24"/>
          <w:szCs w:val="24"/>
        </w:rPr>
        <w:t>bi se otkrio uzrok promuklosti.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2-3</w:t>
      </w:r>
    </w:p>
    <w:p w:rsidR="003A1D1C" w:rsidRDefault="003A1D1C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DIJAGNOSTIČKI POSTUPAK</w:t>
      </w:r>
    </w:p>
    <w:p w:rsidR="00115977" w:rsidRPr="003A1D1C" w:rsidRDefault="00910D6F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Dijagnostički postupak započinje anamnezom i kliničkim pregledom koji bi mogao sadržavati i pregled larinksa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hipofarinksa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fleksibilnom </w:t>
      </w:r>
      <w:proofErr w:type="spellStart"/>
      <w:r>
        <w:rPr>
          <w:rFonts w:ascii="Times New Roman" w:hAnsi="Times New Roman" w:cs="Times New Roman"/>
          <w:sz w:val="24"/>
          <w:szCs w:val="24"/>
        </w:rPr>
        <w:t>fiberendoskopijom</w:t>
      </w:r>
      <w:proofErr w:type="spellEnd"/>
      <w:r>
        <w:rPr>
          <w:rFonts w:ascii="Times New Roman" w:hAnsi="Times New Roman" w:cs="Times New Roman"/>
          <w:sz w:val="24"/>
          <w:szCs w:val="24"/>
        </w:rPr>
        <w:t>. U slučaju sumnje na tumor larinksa potrebno je učiniti CT larinksa i vrata kako bi se procijenila lokalizacija i veličina tumora, kao i zahvaćenost okolnih struktura i prisutnost metastaza na vratu.</w:t>
      </w:r>
      <w:r w:rsidR="007F6B78">
        <w:rPr>
          <w:rFonts w:ascii="Times New Roman" w:hAnsi="Times New Roman" w:cs="Times New Roman"/>
          <w:sz w:val="24"/>
          <w:szCs w:val="24"/>
        </w:rPr>
        <w:t xml:space="preserve"> Kao alternativna mogućnost u nekim slučajevima preporuka je učiniti MR larinksa naročito kod sumnje </w:t>
      </w:r>
      <w:proofErr w:type="spellStart"/>
      <w:r w:rsidR="007F6B78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7F6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B78">
        <w:rPr>
          <w:rFonts w:ascii="Times New Roman" w:hAnsi="Times New Roman" w:cs="Times New Roman"/>
          <w:sz w:val="24"/>
          <w:szCs w:val="24"/>
        </w:rPr>
        <w:t>hondrom</w:t>
      </w:r>
      <w:proofErr w:type="spellEnd"/>
      <w:r w:rsidR="007F6B78">
        <w:rPr>
          <w:rFonts w:ascii="Times New Roman" w:hAnsi="Times New Roman" w:cs="Times New Roman"/>
          <w:sz w:val="24"/>
          <w:szCs w:val="24"/>
        </w:rPr>
        <w:t xml:space="preserve"> larinksa. </w:t>
      </w:r>
      <w:r>
        <w:rPr>
          <w:rFonts w:ascii="Times New Roman" w:hAnsi="Times New Roman" w:cs="Times New Roman"/>
          <w:sz w:val="24"/>
          <w:szCs w:val="24"/>
        </w:rPr>
        <w:t xml:space="preserve">Kod bolesnika u  </w:t>
      </w:r>
      <w:proofErr w:type="spellStart"/>
      <w:r>
        <w:rPr>
          <w:rFonts w:ascii="Times New Roman" w:hAnsi="Times New Roman" w:cs="Times New Roman"/>
          <w:sz w:val="24"/>
          <w:szCs w:val="24"/>
        </w:rPr>
        <w:t>uznapredovoj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fazi bolesti preporuka je učiniti i CT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toraksa</w:t>
      </w:r>
      <w:proofErr w:type="spellEnd"/>
      <w:r w:rsidR="00115977">
        <w:rPr>
          <w:rFonts w:ascii="Times New Roman" w:hAnsi="Times New Roman" w:cs="Times New Roman"/>
          <w:sz w:val="24"/>
          <w:szCs w:val="24"/>
        </w:rPr>
        <w:t xml:space="preserve">. Nakon radiološke dijagnostike potrebno je učiniti </w:t>
      </w:r>
      <w:proofErr w:type="spellStart"/>
      <w:r w:rsidR="00115977">
        <w:rPr>
          <w:rFonts w:ascii="Times New Roman" w:hAnsi="Times New Roman" w:cs="Times New Roman"/>
          <w:sz w:val="24"/>
          <w:szCs w:val="24"/>
        </w:rPr>
        <w:t>laringomikroskopiju</w:t>
      </w:r>
      <w:proofErr w:type="spellEnd"/>
      <w:r w:rsidR="00115977">
        <w:rPr>
          <w:rFonts w:ascii="Times New Roman" w:hAnsi="Times New Roman" w:cs="Times New Roman"/>
          <w:sz w:val="24"/>
          <w:szCs w:val="24"/>
        </w:rPr>
        <w:t xml:space="preserve"> u općoj anesteziji pri čemu je potrebno procijeniti točnu lokalizaciju i veličinu tumora, kao i zahvaćenost pojedinih dijelova larinksa, te uzeti uzorak t</w:t>
      </w:r>
      <w:r w:rsidR="003A1D1C">
        <w:rPr>
          <w:rFonts w:ascii="Times New Roman" w:hAnsi="Times New Roman" w:cs="Times New Roman"/>
          <w:sz w:val="24"/>
          <w:szCs w:val="24"/>
        </w:rPr>
        <w:t xml:space="preserve">kiva za </w:t>
      </w:r>
      <w:proofErr w:type="spellStart"/>
      <w:r w:rsidR="003A1D1C">
        <w:rPr>
          <w:rFonts w:ascii="Times New Roman" w:hAnsi="Times New Roman" w:cs="Times New Roman"/>
          <w:sz w:val="24"/>
          <w:szCs w:val="24"/>
        </w:rPr>
        <w:t>patohistološku</w:t>
      </w:r>
      <w:proofErr w:type="spellEnd"/>
      <w:r w:rsidR="003A1D1C">
        <w:rPr>
          <w:rFonts w:ascii="Times New Roman" w:hAnsi="Times New Roman" w:cs="Times New Roman"/>
          <w:sz w:val="24"/>
          <w:szCs w:val="24"/>
        </w:rPr>
        <w:t xml:space="preserve"> analizu.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4-5</w:t>
      </w:r>
    </w:p>
    <w:p w:rsidR="00AE067E" w:rsidRDefault="00AE067E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67E" w:rsidRDefault="00AE067E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D1C" w:rsidRDefault="003A1D1C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67E" w:rsidRDefault="00AE067E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B78" w:rsidRDefault="007F6B78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osnovi navedene dijagnostičke obrade radi se klinička procjena stadija bolesti prema važećoj</w:t>
      </w:r>
      <w:r w:rsidR="00BA3A84">
        <w:rPr>
          <w:rFonts w:ascii="Times New Roman" w:hAnsi="Times New Roman" w:cs="Times New Roman"/>
          <w:sz w:val="24"/>
          <w:szCs w:val="24"/>
        </w:rPr>
        <w:t xml:space="preserve"> </w:t>
      </w:r>
      <w:r w:rsidR="00BA3A84" w:rsidRPr="00D846F2">
        <w:rPr>
          <w:rFonts w:ascii="Times New Roman" w:hAnsi="Times New Roman" w:cs="Times New Roman"/>
          <w:b/>
          <w:sz w:val="24"/>
          <w:szCs w:val="24"/>
        </w:rPr>
        <w:t>TNM klasifikaciji</w:t>
      </w:r>
      <w:r w:rsidR="00BA3A84">
        <w:rPr>
          <w:rFonts w:ascii="Times New Roman" w:hAnsi="Times New Roman" w:cs="Times New Roman"/>
          <w:sz w:val="24"/>
          <w:szCs w:val="24"/>
        </w:rPr>
        <w:t>:</w:t>
      </w:r>
    </w:p>
    <w:p w:rsidR="007F6B78" w:rsidRDefault="00BA3A84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SUPRAGLOTIS</w:t>
      </w:r>
    </w:p>
    <w:p w:rsidR="00BA3A84" w:rsidRDefault="00BA3A84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T1  tumor zahvaća jednu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podjedinicu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normalnu pomičnost glasnica</w:t>
      </w:r>
    </w:p>
    <w:p w:rsidR="00BA3A84" w:rsidRDefault="00BA3A84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T2  tumor zahvaća sluznicu više od jedne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glotisa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ili regiju izvan   </w:t>
      </w:r>
    </w:p>
    <w:p w:rsidR="00BA3A84" w:rsidRDefault="00BA3A84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sluznica baze jezika,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medijalnu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stijenku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piriformnog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sinusa)    </w:t>
      </w:r>
    </w:p>
    <w:p w:rsidR="00BA3A84" w:rsidRDefault="00BA3A84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bez fiksacije grkljana</w:t>
      </w:r>
    </w:p>
    <w:p w:rsidR="00BA3A84" w:rsidRDefault="00BA3A84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T3  tumor ograničen na larinks s fiksacijom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hemilarinksa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i/ili zahvaća neku od regija: </w:t>
      </w:r>
    </w:p>
    <w:p w:rsidR="00BA3A84" w:rsidRDefault="00BA3A84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postkrikoidna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regija,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preepiglotski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paraglotski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prostor, i/ili minimalno štitnu  </w:t>
      </w:r>
    </w:p>
    <w:p w:rsidR="00BA3A84" w:rsidRDefault="00BA3A84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hrskavicu</w:t>
      </w:r>
    </w:p>
    <w:p w:rsidR="007A1CC3" w:rsidRDefault="00BA3A84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T4a tumor prodire kroz štitnu hrskavicu ili zahvaća tkivo izvan grkljana,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dušnik, meke 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3A84">
        <w:rPr>
          <w:rFonts w:ascii="Times New Roman" w:hAnsi="Times New Roman" w:cs="Times New Roman"/>
          <w:sz w:val="24"/>
          <w:szCs w:val="24"/>
        </w:rPr>
        <w:t xml:space="preserve">strukture vrata, uključujući duboke mišiće jezika, </w:t>
      </w:r>
      <w:proofErr w:type="spellStart"/>
      <w:r w:rsidR="00BA3A8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elaringealne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mišiće, štitnjaču ili </w:t>
      </w:r>
    </w:p>
    <w:p w:rsidR="00BA3A84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jednjak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T4b tumor zahvaća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prevertebralni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medijastinalne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strukture ili obuhvaća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karotidnu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arteriju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GLOTIS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T1   tumor ograničen na glasnicu/glasnice, može zahvaćati prednju ili stražnju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normalnu pokretljivost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T1a tumor zahvaća jednu glasnicu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T1b tumor zahvaća obje glasnice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</w:t>
      </w:r>
      <w:r w:rsidR="00B611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tumor se širi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i/ili </w:t>
      </w:r>
      <w:proofErr w:type="spellStart"/>
      <w:r>
        <w:rPr>
          <w:rFonts w:ascii="Times New Roman" w:hAnsi="Times New Roman" w:cs="Times New Roman"/>
          <w:sz w:val="24"/>
          <w:szCs w:val="24"/>
        </w:rPr>
        <w:t>subglotis</w:t>
      </w:r>
      <w:proofErr w:type="spellEnd"/>
      <w:r w:rsidR="00B6116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160">
        <w:rPr>
          <w:rFonts w:ascii="Times New Roman" w:hAnsi="Times New Roman" w:cs="Times New Roman"/>
          <w:sz w:val="24"/>
          <w:szCs w:val="24"/>
        </w:rPr>
        <w:t>normalnom</w:t>
      </w:r>
      <w:r>
        <w:rPr>
          <w:rFonts w:ascii="Times New Roman" w:hAnsi="Times New Roman" w:cs="Times New Roman"/>
          <w:sz w:val="24"/>
          <w:szCs w:val="24"/>
        </w:rPr>
        <w:t xml:space="preserve"> pokretljivošću glasnica</w:t>
      </w:r>
    </w:p>
    <w:p w:rsidR="00B61160" w:rsidRDefault="00B61160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T2b tumor se širi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i/ili </w:t>
      </w:r>
      <w:proofErr w:type="spellStart"/>
      <w:r>
        <w:rPr>
          <w:rFonts w:ascii="Times New Roman" w:hAnsi="Times New Roman" w:cs="Times New Roman"/>
          <w:sz w:val="24"/>
          <w:szCs w:val="24"/>
        </w:rPr>
        <w:t>subglotis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smanjenom pokretljivošću glasnica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   tumor ograničen na grkljan s fiksacijom glasnica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T4a tumor prodire kroz štitnu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krikoidnu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hrskavicu i/ili zahvaća tkivo izvan grkljana,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dušnik, meke strukture vrata, uključujući duboke mišiće jezika,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prelaringealne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mišiće, </w:t>
      </w:r>
    </w:p>
    <w:p w:rsidR="007A1CC3" w:rsidRDefault="007A1CC3" w:rsidP="00BA3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štitnjaču ili jednjak</w:t>
      </w:r>
    </w:p>
    <w:p w:rsidR="007A1CC3" w:rsidRDefault="007A1CC3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T4b tumor zahvaća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prevertebralni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medijastinalne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strukture ili obuhvaća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karotidnu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CC3" w:rsidRDefault="007A1CC3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arteriju </w:t>
      </w:r>
    </w:p>
    <w:p w:rsidR="00AE067E" w:rsidRDefault="00AE067E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C3" w:rsidRDefault="007A1CC3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SUBGLOTIS</w:t>
      </w:r>
    </w:p>
    <w:p w:rsidR="00B61160" w:rsidRDefault="00B61160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T1  tumor ograničen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subglotis</w:t>
      </w:r>
      <w:proofErr w:type="spellEnd"/>
    </w:p>
    <w:p w:rsidR="00B61160" w:rsidRDefault="00B61160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  tumor se širi na glasnice s normalnom ili smanjenom pokretljivosti glasnica</w:t>
      </w:r>
    </w:p>
    <w:p w:rsidR="00B61160" w:rsidRDefault="00B61160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  tumor ograničen na grkljan s fiksacijom glasnica</w:t>
      </w:r>
    </w:p>
    <w:p w:rsidR="00B61160" w:rsidRDefault="00B61160" w:rsidP="00B61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T4a tumor prodire kroz štitnu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krikoidnu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hrskavicu i/ili zahvaća tkivo izvan grkljana,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160" w:rsidRDefault="00B61160" w:rsidP="00B61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dušnik, meke strukture vrata, uključujući duboke mišiće jezika,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prelaringealne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mišiće, </w:t>
      </w:r>
    </w:p>
    <w:p w:rsidR="00B61160" w:rsidRDefault="00B61160" w:rsidP="00B61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štitnjaču ili jednjak</w:t>
      </w:r>
    </w:p>
    <w:p w:rsidR="00B61160" w:rsidRDefault="00B61160" w:rsidP="00B61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T4b tumor zahvaća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prevertebralni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medijastinalne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strukture ili obuhvaća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karotidnu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60" w:rsidRDefault="00B61160" w:rsidP="00B61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arteriju </w:t>
      </w:r>
    </w:p>
    <w:p w:rsidR="00B61160" w:rsidRDefault="00B61160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1C" w:rsidRDefault="003A1D1C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LIJEČENJE</w:t>
      </w:r>
    </w:p>
    <w:p w:rsidR="007A1CC3" w:rsidRDefault="00B61160" w:rsidP="007A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Rani (T1 – T2a) karcinom glotisa</w:t>
      </w:r>
    </w:p>
    <w:p w:rsidR="00EF39AF" w:rsidRPr="003A1D1C" w:rsidRDefault="00EF39AF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Rani karcinom (T1-T2aN0M0) je karakteriziran malim tumorom koji iznimno rijetko daje lokalne metastaze. Posljedično izlječenje takvih bolesnika je jako dobro bez obzira na modalitet liječenja koji se primjenjuje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transoralna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laserska resekcija, primarna radioterapija ili otvorena parcijalna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osnovi podataka iz literature ne postoje dovoljno jasni i jaki dokazi koji bi odredili koji je način liječenja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najučinkovitiji.Danas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najčešće primjenjuje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transoralna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laserska resekcija i primarna radioterapija, a rezultati izlječenja i lokalna kontrola bolesti su slični, iako ne postoje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randomizirane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studije koje bi to potvrdile. Izbor bolesnika za svaki od ovih načina liječenja je individualan i ovisi o samom bolesniku i karakteristikama tumora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difuzni tumor bez jasnih granica koji zahvaća cijelu glasnicu ili veći tumori koji zahvaćaju prednju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možda su pogodniji za primarnu radioterapiju </w:t>
      </w:r>
      <w:r w:rsidR="00FC4489">
        <w:rPr>
          <w:rFonts w:ascii="Times New Roman" w:hAnsi="Times New Roman" w:cs="Times New Roman"/>
          <w:sz w:val="24"/>
          <w:szCs w:val="24"/>
        </w:rPr>
        <w:t xml:space="preserve">u odnosu na lasersku </w:t>
      </w:r>
      <w:proofErr w:type="spellStart"/>
      <w:r w:rsidR="00FC4489">
        <w:rPr>
          <w:rFonts w:ascii="Times New Roman" w:hAnsi="Times New Roman" w:cs="Times New Roman"/>
          <w:sz w:val="24"/>
          <w:szCs w:val="24"/>
        </w:rPr>
        <w:t>kordektomiju</w:t>
      </w:r>
      <w:proofErr w:type="spellEnd"/>
      <w:r w:rsidR="00FC4489">
        <w:rPr>
          <w:rFonts w:ascii="Times New Roman" w:hAnsi="Times New Roman" w:cs="Times New Roman"/>
          <w:sz w:val="24"/>
          <w:szCs w:val="24"/>
        </w:rPr>
        <w:t xml:space="preserve">) i naravno o iskustvu i znanju </w:t>
      </w:r>
      <w:proofErr w:type="spellStart"/>
      <w:r w:rsidR="00FC4489">
        <w:rPr>
          <w:rFonts w:ascii="Times New Roman" w:hAnsi="Times New Roman" w:cs="Times New Roman"/>
          <w:sz w:val="24"/>
          <w:szCs w:val="24"/>
        </w:rPr>
        <w:t>pojednih</w:t>
      </w:r>
      <w:proofErr w:type="spellEnd"/>
      <w:r w:rsidR="00FC4489">
        <w:rPr>
          <w:rFonts w:ascii="Times New Roman" w:hAnsi="Times New Roman" w:cs="Times New Roman"/>
          <w:sz w:val="24"/>
          <w:szCs w:val="24"/>
        </w:rPr>
        <w:t xml:space="preserve"> centara gdje se bolesnik liječi. U svakom slučaju jedna vrsta terapije je dovoljna u većini bolesnika kako za izlječenje tako i za relativno dobru funkciju grkljana nakon liječenja. Liječenje </w:t>
      </w:r>
      <w:proofErr w:type="spellStart"/>
      <w:r w:rsidR="00FC4489">
        <w:rPr>
          <w:rFonts w:ascii="Times New Roman" w:hAnsi="Times New Roman" w:cs="Times New Roman"/>
          <w:sz w:val="24"/>
          <w:szCs w:val="24"/>
        </w:rPr>
        <w:t>potencijalih</w:t>
      </w:r>
      <w:proofErr w:type="spellEnd"/>
      <w:r w:rsidR="00FC4489">
        <w:rPr>
          <w:rFonts w:ascii="Times New Roman" w:hAnsi="Times New Roman" w:cs="Times New Roman"/>
          <w:sz w:val="24"/>
          <w:szCs w:val="24"/>
        </w:rPr>
        <w:t xml:space="preserve"> metastaza na vratu nije preporučeno zbog vrlo niskog rizika za postojanje </w:t>
      </w:r>
      <w:proofErr w:type="spellStart"/>
      <w:r w:rsidR="00FC4489">
        <w:rPr>
          <w:rFonts w:ascii="Times New Roman" w:hAnsi="Times New Roman" w:cs="Times New Roman"/>
          <w:sz w:val="24"/>
          <w:szCs w:val="24"/>
        </w:rPr>
        <w:t>okulnih</w:t>
      </w:r>
      <w:proofErr w:type="spellEnd"/>
      <w:r w:rsidR="00FC4489">
        <w:rPr>
          <w:rFonts w:ascii="Times New Roman" w:hAnsi="Times New Roman" w:cs="Times New Roman"/>
          <w:sz w:val="24"/>
          <w:szCs w:val="24"/>
        </w:rPr>
        <w:t xml:space="preserve"> metastaza u ovom stadiju bolesti.</w:t>
      </w:r>
      <w:r w:rsidR="006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Transoralna</w:t>
      </w:r>
      <w:proofErr w:type="spellEnd"/>
      <w:r w:rsidR="00661233">
        <w:rPr>
          <w:rFonts w:ascii="Times New Roman" w:hAnsi="Times New Roman" w:cs="Times New Roman"/>
          <w:sz w:val="24"/>
          <w:szCs w:val="24"/>
        </w:rPr>
        <w:t xml:space="preserve"> laserska resekcija se izvodi uglavnom CO2 laserom bez značajnih potencijalnih komplikacija. Kvaliteta glasa nakon laserske resekcije u odnosu na primarnu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radiotepiju</w:t>
      </w:r>
      <w:proofErr w:type="spellEnd"/>
      <w:r w:rsidR="00661233">
        <w:rPr>
          <w:rFonts w:ascii="Times New Roman" w:hAnsi="Times New Roman" w:cs="Times New Roman"/>
          <w:sz w:val="24"/>
          <w:szCs w:val="24"/>
        </w:rPr>
        <w:t xml:space="preserve"> je u dužem vremenskom razdoblju po većini studija nešto lošija, što naravno ovisi o veličini resekcije i zahvaćenosti prednje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komisure</w:t>
      </w:r>
      <w:proofErr w:type="spellEnd"/>
      <w:r w:rsidR="00661233">
        <w:rPr>
          <w:rFonts w:ascii="Times New Roman" w:hAnsi="Times New Roman" w:cs="Times New Roman"/>
          <w:sz w:val="24"/>
          <w:szCs w:val="24"/>
        </w:rPr>
        <w:t xml:space="preserve">. Kod nekih bolesnika izvođenje samog zahvata je otežano i ponekad nemoguće zbog slabije pokretljivosti vrata, debljine ili promijenjenih anatomskih odnosa koji onemogućavaju dostatan prikaz potrebnih struktura i samog tumora. Otvoreni kirurški pristup –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laringofisura</w:t>
      </w:r>
      <w:proofErr w:type="spellEnd"/>
      <w:r w:rsidR="00661233">
        <w:rPr>
          <w:rFonts w:ascii="Times New Roman" w:hAnsi="Times New Roman" w:cs="Times New Roman"/>
          <w:sz w:val="24"/>
          <w:szCs w:val="24"/>
        </w:rPr>
        <w:t xml:space="preserve">, parcijalna vertikalna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661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frontolateralna</w:t>
      </w:r>
      <w:proofErr w:type="spellEnd"/>
      <w:r w:rsidR="006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661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suprakrikoidna</w:t>
      </w:r>
      <w:proofErr w:type="spellEnd"/>
      <w:r w:rsidR="006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33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6C40BB">
        <w:rPr>
          <w:rFonts w:ascii="Times New Roman" w:hAnsi="Times New Roman" w:cs="Times New Roman"/>
          <w:sz w:val="24"/>
          <w:szCs w:val="24"/>
        </w:rPr>
        <w:t xml:space="preserve">, te eventualno totalna </w:t>
      </w:r>
      <w:proofErr w:type="spellStart"/>
      <w:r w:rsidR="006C40BB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6C40BB">
        <w:rPr>
          <w:rFonts w:ascii="Times New Roman" w:hAnsi="Times New Roman" w:cs="Times New Roman"/>
          <w:sz w:val="24"/>
          <w:szCs w:val="24"/>
        </w:rPr>
        <w:t xml:space="preserve">, </w:t>
      </w:r>
      <w:r w:rsidR="00661233">
        <w:rPr>
          <w:rFonts w:ascii="Times New Roman" w:hAnsi="Times New Roman" w:cs="Times New Roman"/>
          <w:sz w:val="24"/>
          <w:szCs w:val="24"/>
        </w:rPr>
        <w:t xml:space="preserve"> uglavnom se primjenjuju u slučaju pojave recidiva ili neuspjeha prethodnog liječenja</w:t>
      </w:r>
      <w:r w:rsidR="006C40BB">
        <w:rPr>
          <w:rFonts w:ascii="Times New Roman" w:hAnsi="Times New Roman" w:cs="Times New Roman"/>
          <w:sz w:val="24"/>
          <w:szCs w:val="24"/>
        </w:rPr>
        <w:t xml:space="preserve">. Za tumore T1a lokalna kontrola bolesti je slična za </w:t>
      </w:r>
      <w:proofErr w:type="spellStart"/>
      <w:r w:rsidR="006C40BB">
        <w:rPr>
          <w:rFonts w:ascii="Times New Roman" w:hAnsi="Times New Roman" w:cs="Times New Roman"/>
          <w:sz w:val="24"/>
          <w:szCs w:val="24"/>
        </w:rPr>
        <w:t>transoralnu</w:t>
      </w:r>
      <w:proofErr w:type="spellEnd"/>
      <w:r w:rsidR="006C40BB">
        <w:rPr>
          <w:rFonts w:ascii="Times New Roman" w:hAnsi="Times New Roman" w:cs="Times New Roman"/>
          <w:sz w:val="24"/>
          <w:szCs w:val="24"/>
        </w:rPr>
        <w:t xml:space="preserve"> lasersku resekciju i primarnu radioterapiju iz iznosi od 90 – 93 %. Za tumore T1b lokalna kontrola se postiže u 85 – 89 % bolesnika u razdoblju od 5 </w:t>
      </w:r>
      <w:r w:rsidR="006C40BB">
        <w:rPr>
          <w:rFonts w:ascii="Times New Roman" w:hAnsi="Times New Roman" w:cs="Times New Roman"/>
          <w:sz w:val="24"/>
          <w:szCs w:val="24"/>
        </w:rPr>
        <w:lastRenderedPageBreak/>
        <w:t xml:space="preserve">godina. Za tumore T2a </w:t>
      </w:r>
      <w:proofErr w:type="spellStart"/>
      <w:r w:rsidR="006C40BB">
        <w:rPr>
          <w:rFonts w:ascii="Times New Roman" w:hAnsi="Times New Roman" w:cs="Times New Roman"/>
          <w:sz w:val="24"/>
          <w:szCs w:val="24"/>
        </w:rPr>
        <w:t>glotisa</w:t>
      </w:r>
      <w:proofErr w:type="spellEnd"/>
      <w:r w:rsidR="006C40BB">
        <w:rPr>
          <w:rFonts w:ascii="Times New Roman" w:hAnsi="Times New Roman" w:cs="Times New Roman"/>
          <w:sz w:val="24"/>
          <w:szCs w:val="24"/>
        </w:rPr>
        <w:t xml:space="preserve"> lokalna kontrola i ukupno </w:t>
      </w:r>
      <w:proofErr w:type="spellStart"/>
      <w:r w:rsidR="006C40BB">
        <w:rPr>
          <w:rFonts w:ascii="Times New Roman" w:hAnsi="Times New Roman" w:cs="Times New Roman"/>
          <w:sz w:val="24"/>
          <w:szCs w:val="24"/>
        </w:rPr>
        <w:t>preživljenje</w:t>
      </w:r>
      <w:proofErr w:type="spellEnd"/>
      <w:r w:rsidR="006C40BB">
        <w:rPr>
          <w:rFonts w:ascii="Times New Roman" w:hAnsi="Times New Roman" w:cs="Times New Roman"/>
          <w:sz w:val="24"/>
          <w:szCs w:val="24"/>
        </w:rPr>
        <w:t xml:space="preserve"> je slično kod </w:t>
      </w:r>
      <w:proofErr w:type="spellStart"/>
      <w:r w:rsidR="006C40BB">
        <w:rPr>
          <w:rFonts w:ascii="Times New Roman" w:hAnsi="Times New Roman" w:cs="Times New Roman"/>
          <w:sz w:val="24"/>
          <w:szCs w:val="24"/>
        </w:rPr>
        <w:t>transoralne</w:t>
      </w:r>
      <w:proofErr w:type="spellEnd"/>
      <w:r w:rsidR="006C40BB">
        <w:rPr>
          <w:rFonts w:ascii="Times New Roman" w:hAnsi="Times New Roman" w:cs="Times New Roman"/>
          <w:sz w:val="24"/>
          <w:szCs w:val="24"/>
        </w:rPr>
        <w:t xml:space="preserve"> laserske resekcije, primarne radioterapije i otvorenog kirurškog pristupa.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6-7</w:t>
      </w:r>
    </w:p>
    <w:p w:rsidR="006C40BB" w:rsidRDefault="006C40BB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T1 – T2 karcinom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supraglotisa</w:t>
      </w:r>
      <w:proofErr w:type="spellEnd"/>
    </w:p>
    <w:p w:rsidR="006C40BB" w:rsidRPr="003A1D1C" w:rsidRDefault="006C40BB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Danas se u liječenju ovih bolesnika ravnopravno i jednako učinkovito primjenjuje primarna radioterapija,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transoralna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laserska resekcija i u zemljama koje raspolažu tom vrstom opreme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transoralna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robotska kirurgija. U liječenju se također kod nekih bolesnika može primijeniti i otvoreni pristup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posebno u ustanovama koje njeguju taj tip kirurškog pristupa. Rezultati izlječenja i lokalna kontrola bolesti su slični</w:t>
      </w:r>
      <w:r w:rsidR="001A4F6D">
        <w:rPr>
          <w:rFonts w:ascii="Times New Roman" w:hAnsi="Times New Roman" w:cs="Times New Roman"/>
          <w:sz w:val="24"/>
          <w:szCs w:val="24"/>
        </w:rPr>
        <w:t xml:space="preserve"> za sve modalitete liječenja</w:t>
      </w:r>
      <w:r>
        <w:rPr>
          <w:rFonts w:ascii="Times New Roman" w:hAnsi="Times New Roman" w:cs="Times New Roman"/>
          <w:sz w:val="24"/>
          <w:szCs w:val="24"/>
        </w:rPr>
        <w:t xml:space="preserve">, iako ne postoje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randomizirane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studije koje bi to </w:t>
      </w:r>
      <w:r w:rsidR="001A4F6D">
        <w:rPr>
          <w:rFonts w:ascii="Times New Roman" w:hAnsi="Times New Roman" w:cs="Times New Roman"/>
          <w:sz w:val="24"/>
          <w:szCs w:val="24"/>
        </w:rPr>
        <w:t xml:space="preserve">zaista </w:t>
      </w:r>
      <w:r>
        <w:rPr>
          <w:rFonts w:ascii="Times New Roman" w:hAnsi="Times New Roman" w:cs="Times New Roman"/>
          <w:sz w:val="24"/>
          <w:szCs w:val="24"/>
        </w:rPr>
        <w:t>potvrdile.</w:t>
      </w:r>
      <w:r w:rsidR="001A4F6D">
        <w:rPr>
          <w:rFonts w:ascii="Times New Roman" w:hAnsi="Times New Roman" w:cs="Times New Roman"/>
          <w:sz w:val="24"/>
          <w:szCs w:val="24"/>
        </w:rPr>
        <w:t xml:space="preserve"> Funkcije grkljana – glas i gutanje, u dužem vremenskom razdoblju su slične za sve modalitete, iako je gutanje više narušeno nakon kirurgije u ranom postoperativnom  razdoblju i neki bolesnici nikada ne dobiju dostatan oporavak gutanja što bitno narušava kvalitetu života. Kako je </w:t>
      </w:r>
      <w:proofErr w:type="spellStart"/>
      <w:r w:rsidR="001A4F6D">
        <w:rPr>
          <w:rFonts w:ascii="Times New Roman" w:hAnsi="Times New Roman" w:cs="Times New Roman"/>
          <w:sz w:val="24"/>
          <w:szCs w:val="24"/>
        </w:rPr>
        <w:t>supraglotično</w:t>
      </w:r>
      <w:proofErr w:type="spellEnd"/>
      <w:r w:rsidR="001A4F6D">
        <w:rPr>
          <w:rFonts w:ascii="Times New Roman" w:hAnsi="Times New Roman" w:cs="Times New Roman"/>
          <w:sz w:val="24"/>
          <w:szCs w:val="24"/>
        </w:rPr>
        <w:t xml:space="preserve"> područje izrazito bogato limfnom drenažom rizik postojanja okultnih metastaza je značajno veći u odnosu na karcinom </w:t>
      </w:r>
      <w:proofErr w:type="spellStart"/>
      <w:r w:rsidR="001A4F6D">
        <w:rPr>
          <w:rFonts w:ascii="Times New Roman" w:hAnsi="Times New Roman" w:cs="Times New Roman"/>
          <w:sz w:val="24"/>
          <w:szCs w:val="24"/>
        </w:rPr>
        <w:t>glotisa</w:t>
      </w:r>
      <w:proofErr w:type="spellEnd"/>
      <w:r w:rsidR="001A4F6D">
        <w:rPr>
          <w:rFonts w:ascii="Times New Roman" w:hAnsi="Times New Roman" w:cs="Times New Roman"/>
          <w:sz w:val="24"/>
          <w:szCs w:val="24"/>
        </w:rPr>
        <w:t xml:space="preserve">, te se preporučuje elektivni tretman vrata – selektivna disekcija regije II – III eventualno IV ili radioterapija navedenog područja, bez obzira na kliničku ili radiološku procjenu nepostojanja evidentnih metastaza. </w:t>
      </w:r>
      <w:r w:rsidR="007F4D1B">
        <w:rPr>
          <w:rFonts w:ascii="Times New Roman" w:hAnsi="Times New Roman" w:cs="Times New Roman"/>
          <w:sz w:val="24"/>
          <w:szCs w:val="24"/>
        </w:rPr>
        <w:t>Postoperativna (</w:t>
      </w:r>
      <w:proofErr w:type="spellStart"/>
      <w:r w:rsidR="007F4D1B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="007F4D1B">
        <w:rPr>
          <w:rFonts w:ascii="Times New Roman" w:hAnsi="Times New Roman" w:cs="Times New Roman"/>
          <w:sz w:val="24"/>
          <w:szCs w:val="24"/>
        </w:rPr>
        <w:t xml:space="preserve">) radioterapija se primjenjuje kod bolesnika s pozitivnih metastazama na vratu (N2, N3) posebno ukoliko su prisutne neke negativne karakteristike poput </w:t>
      </w:r>
      <w:proofErr w:type="spellStart"/>
      <w:r w:rsidR="007F4D1B">
        <w:rPr>
          <w:rFonts w:ascii="Times New Roman" w:hAnsi="Times New Roman" w:cs="Times New Roman"/>
          <w:sz w:val="24"/>
          <w:szCs w:val="24"/>
        </w:rPr>
        <w:t>ekstrakapulanog</w:t>
      </w:r>
      <w:proofErr w:type="spellEnd"/>
      <w:r w:rsidR="007F4D1B">
        <w:rPr>
          <w:rFonts w:ascii="Times New Roman" w:hAnsi="Times New Roman" w:cs="Times New Roman"/>
          <w:sz w:val="24"/>
          <w:szCs w:val="24"/>
        </w:rPr>
        <w:t xml:space="preserve"> širenja ili vaskularne invazije tumorskih stanica.  Za tumore T1 petogodišnja lokalna kontrola bolesti postiže se između 77 – 100 % bolesnika bez obzira na </w:t>
      </w:r>
      <w:proofErr w:type="spellStart"/>
      <w:r w:rsidR="007F4D1B">
        <w:rPr>
          <w:rFonts w:ascii="Times New Roman" w:hAnsi="Times New Roman" w:cs="Times New Roman"/>
          <w:sz w:val="24"/>
          <w:szCs w:val="24"/>
        </w:rPr>
        <w:t>primjenjeni</w:t>
      </w:r>
      <w:proofErr w:type="spellEnd"/>
      <w:r w:rsidR="007F4D1B">
        <w:rPr>
          <w:rFonts w:ascii="Times New Roman" w:hAnsi="Times New Roman" w:cs="Times New Roman"/>
          <w:sz w:val="24"/>
          <w:szCs w:val="24"/>
        </w:rPr>
        <w:t xml:space="preserve"> modalitet liječenja. Za tumore T2 petogodišnja lokalna kontrola bolesti postiže se između 80 – 97 % kod primjene </w:t>
      </w:r>
      <w:proofErr w:type="spellStart"/>
      <w:r w:rsidR="007F4D1B">
        <w:rPr>
          <w:rFonts w:ascii="Times New Roman" w:hAnsi="Times New Roman" w:cs="Times New Roman"/>
          <w:sz w:val="24"/>
          <w:szCs w:val="24"/>
        </w:rPr>
        <w:t>transoralne</w:t>
      </w:r>
      <w:proofErr w:type="spellEnd"/>
      <w:r w:rsidR="007F4D1B">
        <w:rPr>
          <w:rFonts w:ascii="Times New Roman" w:hAnsi="Times New Roman" w:cs="Times New Roman"/>
          <w:sz w:val="24"/>
          <w:szCs w:val="24"/>
        </w:rPr>
        <w:t xml:space="preserve"> laserske resekcije i otvorene </w:t>
      </w:r>
      <w:proofErr w:type="spellStart"/>
      <w:r w:rsidR="007F4D1B">
        <w:rPr>
          <w:rFonts w:ascii="Times New Roman" w:hAnsi="Times New Roman" w:cs="Times New Roman"/>
          <w:sz w:val="24"/>
          <w:szCs w:val="24"/>
        </w:rPr>
        <w:t>supraglotičke</w:t>
      </w:r>
      <w:proofErr w:type="spellEnd"/>
      <w:r w:rsidR="007F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1B">
        <w:rPr>
          <w:rFonts w:ascii="Times New Roman" w:hAnsi="Times New Roman" w:cs="Times New Roman"/>
          <w:sz w:val="24"/>
          <w:szCs w:val="24"/>
        </w:rPr>
        <w:t>laringektomije</w:t>
      </w:r>
      <w:proofErr w:type="spellEnd"/>
      <w:r w:rsidR="007F4D1B">
        <w:rPr>
          <w:rFonts w:ascii="Times New Roman" w:hAnsi="Times New Roman" w:cs="Times New Roman"/>
          <w:sz w:val="24"/>
          <w:szCs w:val="24"/>
        </w:rPr>
        <w:t>, te između 62 – 83 % bolesnika kod p</w:t>
      </w:r>
      <w:r w:rsidR="003A1D1C">
        <w:rPr>
          <w:rFonts w:ascii="Times New Roman" w:hAnsi="Times New Roman" w:cs="Times New Roman"/>
          <w:sz w:val="24"/>
          <w:szCs w:val="24"/>
        </w:rPr>
        <w:t>rimjene primarne radioterapije.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8-9</w:t>
      </w:r>
    </w:p>
    <w:p w:rsidR="007F4D1B" w:rsidRDefault="007F4D1B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T2b – T3 karcinom </w:t>
      </w:r>
      <w:proofErr w:type="spellStart"/>
      <w:r>
        <w:rPr>
          <w:rFonts w:ascii="Times New Roman" w:hAnsi="Times New Roman" w:cs="Times New Roman"/>
          <w:sz w:val="24"/>
          <w:szCs w:val="24"/>
        </w:rPr>
        <w:t>glotisa</w:t>
      </w:r>
      <w:proofErr w:type="spellEnd"/>
    </w:p>
    <w:p w:rsidR="007F4D1B" w:rsidRPr="003A1D1C" w:rsidRDefault="007F4D1B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Kod bolesnika s tumorom T2b – T3 jednako uspješno se primjenjuje primarna radioterapija ili otvorena parcijalna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 xml:space="preserve"> s postoperativnim zračenjem, dok neki centri i kod tumora tog stadija uspješno primjenjuju </w:t>
      </w:r>
      <w:proofErr w:type="spellStart"/>
      <w:r w:rsidR="00A86F39">
        <w:rPr>
          <w:rFonts w:ascii="Times New Roman" w:hAnsi="Times New Roman" w:cs="Times New Roman"/>
          <w:sz w:val="24"/>
          <w:szCs w:val="24"/>
        </w:rPr>
        <w:t>transoralnu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 xml:space="preserve"> lasersku resekciju. Otvorena parcijalna </w:t>
      </w:r>
      <w:proofErr w:type="spellStart"/>
      <w:r w:rsidR="00A86F39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 xml:space="preserve"> uključuje vertikalnu, </w:t>
      </w:r>
      <w:proofErr w:type="spellStart"/>
      <w:r w:rsidR="00A86F39">
        <w:rPr>
          <w:rFonts w:ascii="Times New Roman" w:hAnsi="Times New Roman" w:cs="Times New Roman"/>
          <w:sz w:val="24"/>
          <w:szCs w:val="24"/>
        </w:rPr>
        <w:t>frontolateralnu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F39">
        <w:rPr>
          <w:rFonts w:ascii="Times New Roman" w:hAnsi="Times New Roman" w:cs="Times New Roman"/>
          <w:sz w:val="24"/>
          <w:szCs w:val="24"/>
        </w:rPr>
        <w:t>suprakrikoidnu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 xml:space="preserve"> i proširenu </w:t>
      </w:r>
      <w:proofErr w:type="spellStart"/>
      <w:r w:rsidR="00A86F39">
        <w:rPr>
          <w:rFonts w:ascii="Times New Roman" w:hAnsi="Times New Roman" w:cs="Times New Roman"/>
          <w:sz w:val="24"/>
          <w:szCs w:val="24"/>
        </w:rPr>
        <w:t>supraglotičku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39">
        <w:rPr>
          <w:rFonts w:ascii="Times New Roman" w:hAnsi="Times New Roman" w:cs="Times New Roman"/>
          <w:sz w:val="24"/>
          <w:szCs w:val="24"/>
        </w:rPr>
        <w:t>laringektomiju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 xml:space="preserve"> s eventualnom rekonstrukcijom, ovisno o veličini i lokalizaciju tumora i karakter</w:t>
      </w:r>
      <w:r w:rsidR="000429C8">
        <w:rPr>
          <w:rFonts w:ascii="Times New Roman" w:hAnsi="Times New Roman" w:cs="Times New Roman"/>
          <w:sz w:val="24"/>
          <w:szCs w:val="24"/>
        </w:rPr>
        <w:t>i</w:t>
      </w:r>
      <w:r w:rsidR="00A86F39">
        <w:rPr>
          <w:rFonts w:ascii="Times New Roman" w:hAnsi="Times New Roman" w:cs="Times New Roman"/>
          <w:sz w:val="24"/>
          <w:szCs w:val="24"/>
        </w:rPr>
        <w:t>stikama samog bolesnika.</w:t>
      </w:r>
      <w:r w:rsidR="00B11C2C">
        <w:rPr>
          <w:rFonts w:ascii="Times New Roman" w:hAnsi="Times New Roman" w:cs="Times New Roman"/>
          <w:sz w:val="24"/>
          <w:szCs w:val="24"/>
        </w:rPr>
        <w:t xml:space="preserve"> Kod određenog broja bolesnika, ovisno o općem stanju i posebno kod plućnih bolesnika (KOPB, astma) indicirana je totalna </w:t>
      </w:r>
      <w:proofErr w:type="spellStart"/>
      <w:r w:rsidR="00B11C2C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B11C2C">
        <w:rPr>
          <w:rFonts w:ascii="Times New Roman" w:hAnsi="Times New Roman" w:cs="Times New Roman"/>
          <w:sz w:val="24"/>
          <w:szCs w:val="24"/>
        </w:rPr>
        <w:t xml:space="preserve">. </w:t>
      </w:r>
      <w:r w:rsidR="00A86F39">
        <w:rPr>
          <w:rFonts w:ascii="Times New Roman" w:hAnsi="Times New Roman" w:cs="Times New Roman"/>
          <w:sz w:val="24"/>
          <w:szCs w:val="24"/>
        </w:rPr>
        <w:t xml:space="preserve">Kako je rizik postojanja okultnih metastaza je značajno veći u odnosu na početni stadij karcinoma </w:t>
      </w:r>
      <w:proofErr w:type="spellStart"/>
      <w:r w:rsidR="00A86F39">
        <w:rPr>
          <w:rFonts w:ascii="Times New Roman" w:hAnsi="Times New Roman" w:cs="Times New Roman"/>
          <w:sz w:val="24"/>
          <w:szCs w:val="24"/>
        </w:rPr>
        <w:t>glotisa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 xml:space="preserve">, preporučuje se elektivni tretman vrata – selektivna disekcija regije II – IV ili radioterapija navedenog područja, bez obzira na kliničku ili radiološku procjenu nepostojanja evidentnih metastaza. U slučaju pozitivnih čvorova treba u liječenje uključiti i regiju V, a ako je pozitivan čvor u regiji II i regiju </w:t>
      </w:r>
      <w:proofErr w:type="spellStart"/>
      <w:r w:rsidR="00A86F39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A86F39">
        <w:rPr>
          <w:rFonts w:ascii="Times New Roman" w:hAnsi="Times New Roman" w:cs="Times New Roman"/>
          <w:sz w:val="24"/>
          <w:szCs w:val="24"/>
        </w:rPr>
        <w:t>.</w:t>
      </w:r>
      <w:r w:rsidR="00AE067E">
        <w:rPr>
          <w:rFonts w:ascii="Times New Roman" w:hAnsi="Times New Roman" w:cs="Times New Roman"/>
          <w:sz w:val="24"/>
          <w:szCs w:val="24"/>
        </w:rPr>
        <w:t xml:space="preserve"> U svrhu liječenja moguća je i primjena </w:t>
      </w:r>
      <w:proofErr w:type="spellStart"/>
      <w:r w:rsidR="00AE067E">
        <w:rPr>
          <w:rFonts w:ascii="Times New Roman" w:hAnsi="Times New Roman" w:cs="Times New Roman"/>
          <w:sz w:val="24"/>
          <w:szCs w:val="24"/>
        </w:rPr>
        <w:t>kemoradioterapije</w:t>
      </w:r>
      <w:proofErr w:type="spellEnd"/>
      <w:r w:rsidR="00AE067E">
        <w:rPr>
          <w:rFonts w:ascii="Times New Roman" w:hAnsi="Times New Roman" w:cs="Times New Roman"/>
          <w:sz w:val="24"/>
          <w:szCs w:val="24"/>
        </w:rPr>
        <w:t xml:space="preserve"> umjesto kirurško liječenja. Primjena </w:t>
      </w:r>
      <w:proofErr w:type="spellStart"/>
      <w:r w:rsidR="00AE067E">
        <w:rPr>
          <w:rFonts w:ascii="Times New Roman" w:hAnsi="Times New Roman" w:cs="Times New Roman"/>
          <w:sz w:val="24"/>
          <w:szCs w:val="24"/>
        </w:rPr>
        <w:t>konkomitantne</w:t>
      </w:r>
      <w:proofErr w:type="spellEnd"/>
      <w:r w:rsidR="00AE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67E">
        <w:rPr>
          <w:rFonts w:ascii="Times New Roman" w:hAnsi="Times New Roman" w:cs="Times New Roman"/>
          <w:sz w:val="24"/>
          <w:szCs w:val="24"/>
        </w:rPr>
        <w:t>kemoradioterapije</w:t>
      </w:r>
      <w:proofErr w:type="spellEnd"/>
      <w:r w:rsidR="00AE067E">
        <w:rPr>
          <w:rFonts w:ascii="Times New Roman" w:hAnsi="Times New Roman" w:cs="Times New Roman"/>
          <w:sz w:val="24"/>
          <w:szCs w:val="24"/>
        </w:rPr>
        <w:t xml:space="preserve"> pokazuje veću učinkovitost u odnosu na kombinaciju indukcijske kemoterapije i radioterapije, odnosno samo radioterapije u očuvanju grkljana, iako je ukupno </w:t>
      </w:r>
      <w:proofErr w:type="spellStart"/>
      <w:r w:rsidR="00AE067E">
        <w:rPr>
          <w:rFonts w:ascii="Times New Roman" w:hAnsi="Times New Roman" w:cs="Times New Roman"/>
          <w:sz w:val="24"/>
          <w:szCs w:val="24"/>
        </w:rPr>
        <w:t>preživljenje</w:t>
      </w:r>
      <w:proofErr w:type="spellEnd"/>
      <w:r w:rsidR="00AE067E">
        <w:rPr>
          <w:rFonts w:ascii="Times New Roman" w:hAnsi="Times New Roman" w:cs="Times New Roman"/>
          <w:sz w:val="24"/>
          <w:szCs w:val="24"/>
        </w:rPr>
        <w:t xml:space="preserve"> bolesnika slično kod svih vrsta terapije. Treba naglasiti da </w:t>
      </w:r>
      <w:proofErr w:type="spellStart"/>
      <w:r w:rsidR="00AE067E">
        <w:rPr>
          <w:rFonts w:ascii="Times New Roman" w:hAnsi="Times New Roman" w:cs="Times New Roman"/>
          <w:sz w:val="24"/>
          <w:szCs w:val="24"/>
        </w:rPr>
        <w:t>konkomitantna</w:t>
      </w:r>
      <w:proofErr w:type="spellEnd"/>
      <w:r w:rsidR="00AE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67E">
        <w:rPr>
          <w:rFonts w:ascii="Times New Roman" w:hAnsi="Times New Roman" w:cs="Times New Roman"/>
          <w:sz w:val="24"/>
          <w:szCs w:val="24"/>
        </w:rPr>
        <w:t>kemoradioterapija</w:t>
      </w:r>
      <w:proofErr w:type="spellEnd"/>
      <w:r w:rsidR="00AE067E">
        <w:rPr>
          <w:rFonts w:ascii="Times New Roman" w:hAnsi="Times New Roman" w:cs="Times New Roman"/>
          <w:sz w:val="24"/>
          <w:szCs w:val="24"/>
        </w:rPr>
        <w:t xml:space="preserve"> pokazuje </w:t>
      </w:r>
      <w:r w:rsidR="000429C8">
        <w:rPr>
          <w:rFonts w:ascii="Times New Roman" w:hAnsi="Times New Roman" w:cs="Times New Roman"/>
          <w:sz w:val="24"/>
          <w:szCs w:val="24"/>
        </w:rPr>
        <w:t xml:space="preserve">značajno veću ranu i kasnu toksičnost u odnosu na samu radioterapiju što se prije svega </w:t>
      </w:r>
      <w:r w:rsidR="000429C8">
        <w:rPr>
          <w:rFonts w:ascii="Times New Roman" w:hAnsi="Times New Roman" w:cs="Times New Roman"/>
          <w:sz w:val="24"/>
          <w:szCs w:val="24"/>
        </w:rPr>
        <w:lastRenderedPageBreak/>
        <w:t xml:space="preserve">očituje u smanjenju funkcije gutanja i govora. Kao zamjena za kemoterapiju može se koristiti i </w:t>
      </w:r>
      <w:proofErr w:type="spellStart"/>
      <w:r w:rsidR="000429C8">
        <w:rPr>
          <w:rFonts w:ascii="Times New Roman" w:hAnsi="Times New Roman" w:cs="Times New Roman"/>
          <w:sz w:val="24"/>
          <w:szCs w:val="24"/>
        </w:rPr>
        <w:t>monoklonsko</w:t>
      </w:r>
      <w:proofErr w:type="spellEnd"/>
      <w:r w:rsidR="000429C8">
        <w:rPr>
          <w:rFonts w:ascii="Times New Roman" w:hAnsi="Times New Roman" w:cs="Times New Roman"/>
          <w:sz w:val="24"/>
          <w:szCs w:val="24"/>
        </w:rPr>
        <w:t xml:space="preserve"> protutijelo </w:t>
      </w:r>
      <w:proofErr w:type="spellStart"/>
      <w:r w:rsidR="000429C8">
        <w:rPr>
          <w:rFonts w:ascii="Times New Roman" w:hAnsi="Times New Roman" w:cs="Times New Roman"/>
          <w:sz w:val="24"/>
          <w:szCs w:val="24"/>
        </w:rPr>
        <w:t>cetuximab</w:t>
      </w:r>
      <w:proofErr w:type="spellEnd"/>
      <w:r w:rsidR="000429C8">
        <w:rPr>
          <w:rFonts w:ascii="Times New Roman" w:hAnsi="Times New Roman" w:cs="Times New Roman"/>
          <w:sz w:val="24"/>
          <w:szCs w:val="24"/>
        </w:rPr>
        <w:t xml:space="preserve"> čija primjena pokazuje veću lokalnu kontrolu bolesti i ukupno </w:t>
      </w:r>
      <w:proofErr w:type="spellStart"/>
      <w:r w:rsidR="000429C8">
        <w:rPr>
          <w:rFonts w:ascii="Times New Roman" w:hAnsi="Times New Roman" w:cs="Times New Roman"/>
          <w:sz w:val="24"/>
          <w:szCs w:val="24"/>
        </w:rPr>
        <w:t>preživljenje</w:t>
      </w:r>
      <w:proofErr w:type="spellEnd"/>
      <w:r w:rsidR="000429C8">
        <w:rPr>
          <w:rFonts w:ascii="Times New Roman" w:hAnsi="Times New Roman" w:cs="Times New Roman"/>
          <w:sz w:val="24"/>
          <w:szCs w:val="24"/>
        </w:rPr>
        <w:t xml:space="preserve"> u odnosu na samu radioterapiju. Kod same primjene radioterapije bolji rezultati se postižu </w:t>
      </w:r>
      <w:proofErr w:type="spellStart"/>
      <w:r w:rsidR="000429C8">
        <w:rPr>
          <w:rFonts w:ascii="Times New Roman" w:hAnsi="Times New Roman" w:cs="Times New Roman"/>
          <w:sz w:val="24"/>
          <w:szCs w:val="24"/>
        </w:rPr>
        <w:t>hiperfrakcioniranom</w:t>
      </w:r>
      <w:proofErr w:type="spellEnd"/>
      <w:r w:rsidR="000429C8">
        <w:rPr>
          <w:rFonts w:ascii="Times New Roman" w:hAnsi="Times New Roman" w:cs="Times New Roman"/>
          <w:sz w:val="24"/>
          <w:szCs w:val="24"/>
        </w:rPr>
        <w:t xml:space="preserve"> terapijom u od</w:t>
      </w:r>
      <w:r w:rsidR="003A1D1C">
        <w:rPr>
          <w:rFonts w:ascii="Times New Roman" w:hAnsi="Times New Roman" w:cs="Times New Roman"/>
          <w:sz w:val="24"/>
          <w:szCs w:val="24"/>
        </w:rPr>
        <w:t>nosu na klasičnu radioterapiju.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10-11</w:t>
      </w:r>
    </w:p>
    <w:p w:rsidR="000429C8" w:rsidRDefault="000429C8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T3 karcinom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supraglotisa</w:t>
      </w:r>
      <w:proofErr w:type="spellEnd"/>
    </w:p>
    <w:p w:rsidR="000429C8" w:rsidRPr="003A1D1C" w:rsidRDefault="000429C8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Veličina tumora</w:t>
      </w:r>
      <w:r w:rsidR="00010A9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funkcija grkljana prije liječenja</w:t>
      </w:r>
      <w:r w:rsidR="00010A9F">
        <w:rPr>
          <w:rFonts w:ascii="Times New Roman" w:hAnsi="Times New Roman" w:cs="Times New Roman"/>
          <w:sz w:val="24"/>
          <w:szCs w:val="24"/>
        </w:rPr>
        <w:t xml:space="preserve"> izravno utječu na izbor liječenja u pojedinog bolesnika. </w:t>
      </w:r>
      <w:r w:rsidR="00385C9C">
        <w:rPr>
          <w:rFonts w:ascii="Times New Roman" w:hAnsi="Times New Roman" w:cs="Times New Roman"/>
          <w:sz w:val="24"/>
          <w:szCs w:val="24"/>
        </w:rPr>
        <w:t>V</w:t>
      </w:r>
      <w:r w:rsidR="00010A9F">
        <w:rPr>
          <w:rFonts w:ascii="Times New Roman" w:hAnsi="Times New Roman" w:cs="Times New Roman"/>
          <w:sz w:val="24"/>
          <w:szCs w:val="24"/>
        </w:rPr>
        <w:t xml:space="preserve">ećina bolesnika prema podacima iz literature pogodna za klasično onkološko liječenje,  prije svega za </w:t>
      </w:r>
      <w:proofErr w:type="spellStart"/>
      <w:r w:rsidR="00010A9F">
        <w:rPr>
          <w:rFonts w:ascii="Times New Roman" w:hAnsi="Times New Roman" w:cs="Times New Roman"/>
          <w:sz w:val="24"/>
          <w:szCs w:val="24"/>
        </w:rPr>
        <w:t>konkomitantnu</w:t>
      </w:r>
      <w:proofErr w:type="spellEnd"/>
      <w:r w:rsidR="0001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9F">
        <w:rPr>
          <w:rFonts w:ascii="Times New Roman" w:hAnsi="Times New Roman" w:cs="Times New Roman"/>
          <w:sz w:val="24"/>
          <w:szCs w:val="24"/>
        </w:rPr>
        <w:t>kemoradioterapiju</w:t>
      </w:r>
      <w:proofErr w:type="spellEnd"/>
      <w:r w:rsidR="00385C9C">
        <w:rPr>
          <w:rFonts w:ascii="Times New Roman" w:hAnsi="Times New Roman" w:cs="Times New Roman"/>
          <w:sz w:val="24"/>
          <w:szCs w:val="24"/>
        </w:rPr>
        <w:t xml:space="preserve"> što danas se danas uglavnom izvodi u zemljama zapadne Europe</w:t>
      </w:r>
      <w:r w:rsidR="00010A9F">
        <w:rPr>
          <w:rFonts w:ascii="Times New Roman" w:hAnsi="Times New Roman" w:cs="Times New Roman"/>
          <w:sz w:val="24"/>
          <w:szCs w:val="24"/>
        </w:rPr>
        <w:t xml:space="preserve">. Kao druga opcija mogu je </w:t>
      </w:r>
      <w:proofErr w:type="spellStart"/>
      <w:r w:rsidR="00010A9F">
        <w:rPr>
          <w:rFonts w:ascii="Times New Roman" w:hAnsi="Times New Roman" w:cs="Times New Roman"/>
          <w:sz w:val="24"/>
          <w:szCs w:val="24"/>
        </w:rPr>
        <w:t>transoralna</w:t>
      </w:r>
      <w:proofErr w:type="spellEnd"/>
      <w:r w:rsidR="00010A9F">
        <w:rPr>
          <w:rFonts w:ascii="Times New Roman" w:hAnsi="Times New Roman" w:cs="Times New Roman"/>
          <w:sz w:val="24"/>
          <w:szCs w:val="24"/>
        </w:rPr>
        <w:t xml:space="preserve"> laserska resekcija ili otvorena </w:t>
      </w:r>
      <w:proofErr w:type="spellStart"/>
      <w:r w:rsidR="00010A9F">
        <w:rPr>
          <w:rFonts w:ascii="Times New Roman" w:hAnsi="Times New Roman" w:cs="Times New Roman"/>
          <w:sz w:val="24"/>
          <w:szCs w:val="24"/>
        </w:rPr>
        <w:t>supraglotička</w:t>
      </w:r>
      <w:proofErr w:type="spellEnd"/>
      <w:r w:rsidR="0001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9F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010A9F">
        <w:rPr>
          <w:rFonts w:ascii="Times New Roman" w:hAnsi="Times New Roman" w:cs="Times New Roman"/>
          <w:sz w:val="24"/>
          <w:szCs w:val="24"/>
        </w:rPr>
        <w:t xml:space="preserve"> uz eventualno postoperativnu (</w:t>
      </w:r>
      <w:proofErr w:type="spellStart"/>
      <w:r w:rsidR="00010A9F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="00010A9F">
        <w:rPr>
          <w:rFonts w:ascii="Times New Roman" w:hAnsi="Times New Roman" w:cs="Times New Roman"/>
          <w:sz w:val="24"/>
          <w:szCs w:val="24"/>
        </w:rPr>
        <w:t>)radioterapiju.</w:t>
      </w:r>
      <w:r w:rsidR="00B11C2C" w:rsidRPr="00B11C2C">
        <w:rPr>
          <w:rFonts w:ascii="Times New Roman" w:hAnsi="Times New Roman" w:cs="Times New Roman"/>
          <w:sz w:val="24"/>
          <w:szCs w:val="24"/>
        </w:rPr>
        <w:t xml:space="preserve"> </w:t>
      </w:r>
      <w:r w:rsidR="00B11C2C">
        <w:rPr>
          <w:rFonts w:ascii="Times New Roman" w:hAnsi="Times New Roman" w:cs="Times New Roman"/>
          <w:sz w:val="24"/>
          <w:szCs w:val="24"/>
        </w:rPr>
        <w:t xml:space="preserve">Kod određenog broja bolesnika, ovisno o općem stanju i posebno kod plućnih bolesnika (KOPB, astma) indicirana je totalna </w:t>
      </w:r>
      <w:proofErr w:type="spellStart"/>
      <w:r w:rsidR="00B11C2C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B11C2C">
        <w:rPr>
          <w:rFonts w:ascii="Times New Roman" w:hAnsi="Times New Roman" w:cs="Times New Roman"/>
          <w:sz w:val="24"/>
          <w:szCs w:val="24"/>
        </w:rPr>
        <w:t xml:space="preserve">. </w:t>
      </w:r>
      <w:r w:rsidR="00954C63">
        <w:rPr>
          <w:rFonts w:ascii="Times New Roman" w:hAnsi="Times New Roman" w:cs="Times New Roman"/>
          <w:sz w:val="24"/>
          <w:szCs w:val="24"/>
        </w:rPr>
        <w:t xml:space="preserve">Kako je rizik postojanja okultnih metastaza je značajno veći u odnosu na karcinoma </w:t>
      </w:r>
      <w:proofErr w:type="spellStart"/>
      <w:r w:rsidR="00954C63">
        <w:rPr>
          <w:rFonts w:ascii="Times New Roman" w:hAnsi="Times New Roman" w:cs="Times New Roman"/>
          <w:sz w:val="24"/>
          <w:szCs w:val="24"/>
        </w:rPr>
        <w:t>glotisa</w:t>
      </w:r>
      <w:proofErr w:type="spellEnd"/>
      <w:r w:rsidR="00954C63">
        <w:rPr>
          <w:rFonts w:ascii="Times New Roman" w:hAnsi="Times New Roman" w:cs="Times New Roman"/>
          <w:sz w:val="24"/>
          <w:szCs w:val="24"/>
        </w:rPr>
        <w:t xml:space="preserve">, preporučuje se elektivni tretman vrata – obostrana selektivna disekcija regije II – IV ili radioterapija navedenog područja, bez obzira na kliničku ili radiološku procjenu nepostojanja evidentnih metastaza. U slučaju pozitivnog čvora preporuča se izvođenje (modificirane) radikalne disekcije vrata. U bolesnika koji su imali stadij bolesti vrata N2 – 3 a bili su podvrgnuti primarnoj </w:t>
      </w:r>
      <w:proofErr w:type="spellStart"/>
      <w:r w:rsidR="00954C63">
        <w:rPr>
          <w:rFonts w:ascii="Times New Roman" w:hAnsi="Times New Roman" w:cs="Times New Roman"/>
          <w:sz w:val="24"/>
          <w:szCs w:val="24"/>
        </w:rPr>
        <w:t>kemoradioterapiji</w:t>
      </w:r>
      <w:proofErr w:type="spellEnd"/>
      <w:r w:rsidR="00954C63">
        <w:rPr>
          <w:rFonts w:ascii="Times New Roman" w:hAnsi="Times New Roman" w:cs="Times New Roman"/>
          <w:sz w:val="24"/>
          <w:szCs w:val="24"/>
        </w:rPr>
        <w:t>, u svrhu praćenja i procjene odgovora na liječenje preporuča se primjena CT i PET-CT. U slučaju kompletnog odgovora i negativnog PET-CT nalaza dodatna d</w:t>
      </w:r>
      <w:r w:rsidR="003A1D1C">
        <w:rPr>
          <w:rFonts w:ascii="Times New Roman" w:hAnsi="Times New Roman" w:cs="Times New Roman"/>
          <w:sz w:val="24"/>
          <w:szCs w:val="24"/>
        </w:rPr>
        <w:t>isekcija vrata nije indicirana.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12-15</w:t>
      </w:r>
    </w:p>
    <w:p w:rsidR="00421B7F" w:rsidRDefault="00421B7F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T4 karcinom larinksa</w:t>
      </w:r>
    </w:p>
    <w:p w:rsidR="004105E0" w:rsidRPr="003A1D1C" w:rsidRDefault="004105E0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Za liječenje T4 karcinoma larinksa </w:t>
      </w:r>
      <w:r w:rsidR="00042B98">
        <w:rPr>
          <w:rFonts w:ascii="Times New Roman" w:hAnsi="Times New Roman" w:cs="Times New Roman"/>
          <w:sz w:val="24"/>
          <w:szCs w:val="24"/>
        </w:rPr>
        <w:t>kod izbora terapije najvažnija je dobra selekcija bolesnika. U</w:t>
      </w:r>
      <w:r>
        <w:rPr>
          <w:rFonts w:ascii="Times New Roman" w:hAnsi="Times New Roman" w:cs="Times New Roman"/>
          <w:sz w:val="24"/>
          <w:szCs w:val="24"/>
        </w:rPr>
        <w:t xml:space="preserve"> svrhu čuvanja organa u obzir dolazi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kemoradioterapija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042B98">
        <w:rPr>
          <w:rFonts w:ascii="Times New Roman" w:hAnsi="Times New Roman" w:cs="Times New Roman"/>
          <w:sz w:val="24"/>
          <w:szCs w:val="24"/>
        </w:rPr>
        <w:t>dok kod b</w:t>
      </w:r>
      <w:r>
        <w:rPr>
          <w:rFonts w:ascii="Times New Roman" w:hAnsi="Times New Roman" w:cs="Times New Roman"/>
          <w:sz w:val="24"/>
          <w:szCs w:val="24"/>
        </w:rPr>
        <w:t>olesn</w:t>
      </w:r>
      <w:r w:rsidR="00042B98"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z w:val="24"/>
          <w:szCs w:val="24"/>
        </w:rPr>
        <w:t xml:space="preserve"> s velikim tumorom koji se širi kroz štitnu hrskavicu ili zahvaća više od 1 cm korijena jezika</w:t>
      </w:r>
      <w:r w:rsidR="00042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B98">
        <w:rPr>
          <w:rFonts w:ascii="Times New Roman" w:hAnsi="Times New Roman" w:cs="Times New Roman"/>
          <w:sz w:val="24"/>
          <w:szCs w:val="24"/>
        </w:rPr>
        <w:t xml:space="preserve">metoda izbora je totalna </w:t>
      </w:r>
      <w:proofErr w:type="spellStart"/>
      <w:r w:rsidR="00042B98">
        <w:rPr>
          <w:rFonts w:ascii="Times New Roman" w:hAnsi="Times New Roman" w:cs="Times New Roman"/>
          <w:sz w:val="24"/>
          <w:szCs w:val="24"/>
        </w:rPr>
        <w:t>laringektomija</w:t>
      </w:r>
      <w:proofErr w:type="spellEnd"/>
      <w:r w:rsidR="00042B98">
        <w:rPr>
          <w:rFonts w:ascii="Times New Roman" w:hAnsi="Times New Roman" w:cs="Times New Roman"/>
          <w:sz w:val="24"/>
          <w:szCs w:val="24"/>
        </w:rPr>
        <w:t xml:space="preserve">. Kod bolesnika koji su </w:t>
      </w:r>
      <w:proofErr w:type="spellStart"/>
      <w:r w:rsidR="00042B98">
        <w:rPr>
          <w:rFonts w:ascii="Times New Roman" w:hAnsi="Times New Roman" w:cs="Times New Roman"/>
          <w:sz w:val="24"/>
          <w:szCs w:val="24"/>
        </w:rPr>
        <w:t>inoperabilni</w:t>
      </w:r>
      <w:proofErr w:type="spellEnd"/>
      <w:r w:rsidR="00042B98">
        <w:rPr>
          <w:rFonts w:ascii="Times New Roman" w:hAnsi="Times New Roman" w:cs="Times New Roman"/>
          <w:sz w:val="24"/>
          <w:szCs w:val="24"/>
        </w:rPr>
        <w:t xml:space="preserve"> T4b jedina mogućnost je </w:t>
      </w:r>
      <w:proofErr w:type="spellStart"/>
      <w:r w:rsidR="00042B98">
        <w:rPr>
          <w:rFonts w:ascii="Times New Roman" w:hAnsi="Times New Roman" w:cs="Times New Roman"/>
          <w:sz w:val="24"/>
          <w:szCs w:val="24"/>
        </w:rPr>
        <w:t>konkomitantna</w:t>
      </w:r>
      <w:proofErr w:type="spellEnd"/>
      <w:r w:rsidR="0004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98">
        <w:rPr>
          <w:rFonts w:ascii="Times New Roman" w:hAnsi="Times New Roman" w:cs="Times New Roman"/>
          <w:sz w:val="24"/>
          <w:szCs w:val="24"/>
        </w:rPr>
        <w:t>kemoradioterapija</w:t>
      </w:r>
      <w:proofErr w:type="spellEnd"/>
      <w:r w:rsidR="00042B98">
        <w:rPr>
          <w:rFonts w:ascii="Times New Roman" w:hAnsi="Times New Roman" w:cs="Times New Roman"/>
          <w:sz w:val="24"/>
          <w:szCs w:val="24"/>
        </w:rPr>
        <w:t xml:space="preserve">, a kao mogućnost je spominje se indukcijska kemoterapija u svrhu smanjivanja volumena tumora prije samog početka </w:t>
      </w:r>
      <w:proofErr w:type="spellStart"/>
      <w:r w:rsidR="00042B98">
        <w:rPr>
          <w:rFonts w:ascii="Times New Roman" w:hAnsi="Times New Roman" w:cs="Times New Roman"/>
          <w:sz w:val="24"/>
          <w:szCs w:val="24"/>
        </w:rPr>
        <w:t>kemoradioterapije</w:t>
      </w:r>
      <w:proofErr w:type="spellEnd"/>
      <w:r w:rsidR="00042B98">
        <w:rPr>
          <w:rFonts w:ascii="Times New Roman" w:hAnsi="Times New Roman" w:cs="Times New Roman"/>
          <w:sz w:val="24"/>
          <w:szCs w:val="24"/>
        </w:rPr>
        <w:t xml:space="preserve">. Kod liječenja </w:t>
      </w:r>
      <w:r w:rsidR="00EF585E">
        <w:rPr>
          <w:rFonts w:ascii="Times New Roman" w:hAnsi="Times New Roman" w:cs="Times New Roman"/>
          <w:sz w:val="24"/>
          <w:szCs w:val="24"/>
        </w:rPr>
        <w:t xml:space="preserve">okultnih </w:t>
      </w:r>
      <w:proofErr w:type="spellStart"/>
      <w:r w:rsidR="00042B98">
        <w:rPr>
          <w:rFonts w:ascii="Times New Roman" w:hAnsi="Times New Roman" w:cs="Times New Roman"/>
          <w:sz w:val="24"/>
          <w:szCs w:val="24"/>
        </w:rPr>
        <w:t>metastatskih</w:t>
      </w:r>
      <w:proofErr w:type="spellEnd"/>
      <w:r w:rsidR="00042B98">
        <w:rPr>
          <w:rFonts w:ascii="Times New Roman" w:hAnsi="Times New Roman" w:cs="Times New Roman"/>
          <w:sz w:val="24"/>
          <w:szCs w:val="24"/>
        </w:rPr>
        <w:t xml:space="preserve"> promjena na vratu treba obuhvatiti regije II </w:t>
      </w:r>
      <w:r w:rsidR="00EF585E">
        <w:rPr>
          <w:rFonts w:ascii="Times New Roman" w:hAnsi="Times New Roman" w:cs="Times New Roman"/>
          <w:sz w:val="24"/>
          <w:szCs w:val="24"/>
        </w:rPr>
        <w:t>–</w:t>
      </w:r>
      <w:r w:rsidR="00042B98">
        <w:rPr>
          <w:rFonts w:ascii="Times New Roman" w:hAnsi="Times New Roman" w:cs="Times New Roman"/>
          <w:sz w:val="24"/>
          <w:szCs w:val="24"/>
        </w:rPr>
        <w:t xml:space="preserve"> V</w:t>
      </w:r>
      <w:r w:rsidR="00EF585E">
        <w:rPr>
          <w:rFonts w:ascii="Times New Roman" w:hAnsi="Times New Roman" w:cs="Times New Roman"/>
          <w:sz w:val="24"/>
          <w:szCs w:val="24"/>
        </w:rPr>
        <w:t xml:space="preserve"> bilo da je riječ o disekciji vra</w:t>
      </w:r>
      <w:r w:rsidR="003A1D1C">
        <w:rPr>
          <w:rFonts w:ascii="Times New Roman" w:hAnsi="Times New Roman" w:cs="Times New Roman"/>
          <w:sz w:val="24"/>
          <w:szCs w:val="24"/>
        </w:rPr>
        <w:t>ta ili primarnoj radioterapiji.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16-18</w:t>
      </w:r>
    </w:p>
    <w:p w:rsidR="00EF585E" w:rsidRDefault="00EF585E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Postoperativna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kemo</w:t>
      </w:r>
      <w:proofErr w:type="spellEnd"/>
      <w:r>
        <w:rPr>
          <w:rFonts w:ascii="Times New Roman" w:hAnsi="Times New Roman" w:cs="Times New Roman"/>
          <w:sz w:val="24"/>
          <w:szCs w:val="24"/>
        </w:rPr>
        <w:t>)radioterapija</w:t>
      </w:r>
    </w:p>
    <w:p w:rsidR="00EF585E" w:rsidRPr="003A1D1C" w:rsidRDefault="00EF585E" w:rsidP="00E62E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Postoperativna </w:t>
      </w:r>
      <w:r w:rsidR="004B61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61E1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="004B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radioterapija na mjesto primarnog tumora i/ili vrata kod bolesnika s visokim rizikom recidiva poboljšava lokalnu kontrolu bolesti i ukupno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preživljenje</w:t>
      </w:r>
      <w:proofErr w:type="spellEnd"/>
      <w:r>
        <w:rPr>
          <w:rFonts w:ascii="Times New Roman" w:hAnsi="Times New Roman" w:cs="Times New Roman"/>
          <w:sz w:val="24"/>
          <w:szCs w:val="24"/>
        </w:rPr>
        <w:t>. Postoperativna radioterapija se preporuča za bolesnike s pT4</w:t>
      </w:r>
      <w:r w:rsidR="004B61E1">
        <w:rPr>
          <w:rFonts w:ascii="Times New Roman" w:hAnsi="Times New Roman" w:cs="Times New Roman"/>
          <w:sz w:val="24"/>
          <w:szCs w:val="24"/>
        </w:rPr>
        <w:t xml:space="preserve"> i bilo kojim N stadijem, za bolesnike pT1,T2,T3 i N2/3 stadijem, za bolesnike s pozitivnim ili bliskim rubovima tumora te kod </w:t>
      </w:r>
      <w:proofErr w:type="spellStart"/>
      <w:r w:rsidR="004B61E1">
        <w:rPr>
          <w:rFonts w:ascii="Times New Roman" w:hAnsi="Times New Roman" w:cs="Times New Roman"/>
          <w:sz w:val="24"/>
          <w:szCs w:val="24"/>
        </w:rPr>
        <w:t>ekstrakapsularnog</w:t>
      </w:r>
      <w:proofErr w:type="spellEnd"/>
      <w:r w:rsidR="004B61E1">
        <w:rPr>
          <w:rFonts w:ascii="Times New Roman" w:hAnsi="Times New Roman" w:cs="Times New Roman"/>
          <w:sz w:val="24"/>
          <w:szCs w:val="24"/>
        </w:rPr>
        <w:t xml:space="preserve"> širenja metastaza, </w:t>
      </w:r>
      <w:proofErr w:type="spellStart"/>
      <w:r w:rsidR="004B61E1">
        <w:rPr>
          <w:rFonts w:ascii="Times New Roman" w:hAnsi="Times New Roman" w:cs="Times New Roman"/>
          <w:sz w:val="24"/>
          <w:szCs w:val="24"/>
        </w:rPr>
        <w:t>perineuralnom</w:t>
      </w:r>
      <w:proofErr w:type="spellEnd"/>
      <w:r w:rsidR="004B61E1">
        <w:rPr>
          <w:rFonts w:ascii="Times New Roman" w:hAnsi="Times New Roman" w:cs="Times New Roman"/>
          <w:sz w:val="24"/>
          <w:szCs w:val="24"/>
        </w:rPr>
        <w:t xml:space="preserve"> ili vaskularnom invazijom, te kod tumora sa slabijom diferencijacijom.</w:t>
      </w:r>
      <w:r w:rsidR="003A1D1C">
        <w:rPr>
          <w:rFonts w:ascii="Times New Roman" w:hAnsi="Times New Roman" w:cs="Times New Roman"/>
          <w:sz w:val="24"/>
          <w:szCs w:val="24"/>
          <w:vertAlign w:val="superscript"/>
        </w:rPr>
        <w:t>19-20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AB0" w:rsidRDefault="009E4AB0" w:rsidP="009E4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KARCINOM GLOTISA</w:t>
      </w:r>
    </w:p>
    <w:tbl>
      <w:tblPr>
        <w:tblStyle w:val="TableGrid"/>
        <w:tblW w:w="9460" w:type="dxa"/>
        <w:tblLook w:val="04A0"/>
      </w:tblPr>
      <w:tblGrid>
        <w:gridCol w:w="2364"/>
        <w:gridCol w:w="2364"/>
        <w:gridCol w:w="2366"/>
        <w:gridCol w:w="2366"/>
      </w:tblGrid>
      <w:tr w:rsidR="009E4AB0" w:rsidTr="00AE01F2">
        <w:trPr>
          <w:trHeight w:val="765"/>
        </w:trPr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T1 - T2a</w:t>
            </w:r>
          </w:p>
        </w:tc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Laserska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kordektomija</w:t>
            </w:r>
            <w:proofErr w:type="spellEnd"/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Primarna RT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Laringofisura</w:t>
            </w:r>
            <w:proofErr w:type="spellEnd"/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PVL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Opservacija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SND II-IV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0" w:rsidTr="00AE01F2">
        <w:trPr>
          <w:trHeight w:val="780"/>
        </w:trPr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mRND</w:t>
            </w:r>
            <w:proofErr w:type="spellEnd"/>
          </w:p>
        </w:tc>
      </w:tr>
      <w:tr w:rsidR="009E4AB0" w:rsidTr="00AE01F2">
        <w:trPr>
          <w:trHeight w:val="720"/>
        </w:trPr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T2b – T3</w:t>
            </w:r>
          </w:p>
        </w:tc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Laserska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kordektomija</w:t>
            </w:r>
            <w:proofErr w:type="spellEnd"/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PVL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(K)RT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SND II-IV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0" w:rsidTr="00AE01F2">
        <w:trPr>
          <w:trHeight w:val="825"/>
        </w:trPr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lob</w:t>
            </w:r>
          </w:p>
        </w:tc>
      </w:tr>
      <w:tr w:rsidR="009E4AB0" w:rsidTr="00AE01F2">
        <w:trPr>
          <w:trHeight w:val="438"/>
        </w:trPr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T4a </w:t>
            </w:r>
          </w:p>
        </w:tc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(K)RT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SND II-IV,VI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0" w:rsidTr="00AE01F2">
        <w:trPr>
          <w:trHeight w:val="480"/>
        </w:trPr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lob</w:t>
            </w:r>
          </w:p>
        </w:tc>
      </w:tr>
      <w:tr w:rsidR="009E4AB0" w:rsidTr="00AE01F2">
        <w:trPr>
          <w:trHeight w:val="305"/>
        </w:trPr>
        <w:tc>
          <w:tcPr>
            <w:tcW w:w="2364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T4b</w:t>
            </w:r>
          </w:p>
        </w:tc>
        <w:tc>
          <w:tcPr>
            <w:tcW w:w="2364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(K)RT</w:t>
            </w:r>
          </w:p>
        </w:tc>
        <w:tc>
          <w:tcPr>
            <w:tcW w:w="4732" w:type="dxa"/>
            <w:gridSpan w:val="2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AB0" w:rsidRDefault="009E4AB0" w:rsidP="009E4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AB0" w:rsidRDefault="009E4AB0" w:rsidP="009E4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KARCINOM SUPRAGLOTISA</w:t>
      </w:r>
    </w:p>
    <w:tbl>
      <w:tblPr>
        <w:tblStyle w:val="TableGrid"/>
        <w:tblW w:w="9460" w:type="dxa"/>
        <w:tblLook w:val="04A0"/>
      </w:tblPr>
      <w:tblGrid>
        <w:gridCol w:w="2364"/>
        <w:gridCol w:w="2364"/>
        <w:gridCol w:w="2366"/>
        <w:gridCol w:w="2366"/>
      </w:tblGrid>
      <w:tr w:rsidR="009E4AB0" w:rsidTr="00AE01F2">
        <w:trPr>
          <w:trHeight w:val="690"/>
        </w:trPr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T1 - T2</w:t>
            </w:r>
          </w:p>
        </w:tc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Laserska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kordektomija</w:t>
            </w:r>
            <w:proofErr w:type="spellEnd"/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Primarna RT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SGPL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Opservacija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SND 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0" w:rsidTr="00AE01F2">
        <w:trPr>
          <w:trHeight w:val="855"/>
        </w:trPr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mRND</w:t>
            </w:r>
            <w:proofErr w:type="spellEnd"/>
          </w:p>
        </w:tc>
      </w:tr>
      <w:tr w:rsidR="009E4AB0" w:rsidTr="00AE01F2">
        <w:trPr>
          <w:trHeight w:val="675"/>
        </w:trPr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T3</w:t>
            </w:r>
          </w:p>
        </w:tc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SGPL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STL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(K)RT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SND 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0" w:rsidTr="00AE01F2">
        <w:trPr>
          <w:trHeight w:val="870"/>
        </w:trPr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SND + lob</w:t>
            </w:r>
          </w:p>
        </w:tc>
      </w:tr>
      <w:tr w:rsidR="009E4AB0" w:rsidTr="00AE01F2">
        <w:trPr>
          <w:trHeight w:val="453"/>
        </w:trPr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T4a </w:t>
            </w:r>
          </w:p>
        </w:tc>
        <w:tc>
          <w:tcPr>
            <w:tcW w:w="2364" w:type="dxa"/>
            <w:vMerge w:val="restart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(K)RT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SND II-IV,VI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0" w:rsidTr="00AE01F2">
        <w:trPr>
          <w:trHeight w:val="465"/>
        </w:trPr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2366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SND +  lob</w:t>
            </w:r>
          </w:p>
        </w:tc>
      </w:tr>
      <w:tr w:rsidR="009E4AB0" w:rsidTr="00AE01F2">
        <w:trPr>
          <w:trHeight w:val="305"/>
        </w:trPr>
        <w:tc>
          <w:tcPr>
            <w:tcW w:w="2364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T4b</w:t>
            </w:r>
          </w:p>
        </w:tc>
        <w:tc>
          <w:tcPr>
            <w:tcW w:w="2364" w:type="dxa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(K)RT</w:t>
            </w:r>
          </w:p>
        </w:tc>
        <w:tc>
          <w:tcPr>
            <w:tcW w:w="4732" w:type="dxa"/>
            <w:gridSpan w:val="2"/>
          </w:tcPr>
          <w:p w:rsidR="009E4AB0" w:rsidRDefault="009E4AB0" w:rsidP="00AE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AB0" w:rsidRDefault="009E4AB0" w:rsidP="009E4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AB0" w:rsidRPr="00540C53" w:rsidRDefault="009E4AB0" w:rsidP="009E4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BB" w:rsidRDefault="009B6F48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Literatura</w:t>
      </w:r>
    </w:p>
    <w:p w:rsidR="00CE341A" w:rsidRDefault="009B6F48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9B6F48">
        <w:rPr>
          <w:rFonts w:ascii="Times New Roman" w:hAnsi="Times New Roman" w:cs="Times New Roman"/>
          <w:sz w:val="24"/>
          <w:szCs w:val="24"/>
        </w:rPr>
        <w:t>1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Rachet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Quinn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MJ,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Cooper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Coleman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MP.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larynx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Wales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to 2001. Br J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2008;99(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1):S35–7 </w:t>
      </w:r>
    </w:p>
    <w:p w:rsidR="00CE341A" w:rsidRDefault="009B6F48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9B6F48">
        <w:rPr>
          <w:rFonts w:ascii="Times New Roman" w:hAnsi="Times New Roman" w:cs="Times New Roman"/>
          <w:sz w:val="24"/>
          <w:szCs w:val="24"/>
        </w:rPr>
        <w:t>2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9B6F48">
        <w:rPr>
          <w:rFonts w:ascii="Times New Roman" w:hAnsi="Times New Roman" w:cs="Times New Roman"/>
          <w:sz w:val="24"/>
          <w:szCs w:val="24"/>
        </w:rPr>
        <w:t xml:space="preserve"> Upile NS, Shaw RJ,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TM,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Goodyear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Liloglou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JM et al.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oropharynx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rarely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papillomavirus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Laryngoscope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2014;124:2739–44 </w:t>
      </w:r>
    </w:p>
    <w:p w:rsidR="00CE341A" w:rsidRDefault="009B6F48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9B6F48">
        <w:rPr>
          <w:rFonts w:ascii="Times New Roman" w:hAnsi="Times New Roman" w:cs="Times New Roman"/>
          <w:sz w:val="24"/>
          <w:szCs w:val="24"/>
        </w:rPr>
        <w:t>3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Dey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Wight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R, MacKenzie K,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C, Wilson J.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endolaryngeal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laser) for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2002;CD002027 </w:t>
      </w:r>
    </w:p>
    <w:p w:rsidR="00CE341A" w:rsidRDefault="009B6F48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9B6F48">
        <w:rPr>
          <w:rFonts w:ascii="Times New Roman" w:hAnsi="Times New Roman" w:cs="Times New Roman"/>
          <w:sz w:val="24"/>
          <w:szCs w:val="24"/>
        </w:rPr>
        <w:t>4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Steiner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Ambrosch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Rodel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RM,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Kron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commissure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glottic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microresection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F48">
        <w:rPr>
          <w:rFonts w:ascii="Times New Roman" w:hAnsi="Times New Roman" w:cs="Times New Roman"/>
          <w:sz w:val="24"/>
          <w:szCs w:val="24"/>
        </w:rPr>
        <w:t>Laryngoscope</w:t>
      </w:r>
      <w:proofErr w:type="spellEnd"/>
      <w:r w:rsidRPr="009B6F48">
        <w:rPr>
          <w:rFonts w:ascii="Times New Roman" w:hAnsi="Times New Roman" w:cs="Times New Roman"/>
          <w:sz w:val="24"/>
          <w:szCs w:val="24"/>
        </w:rPr>
        <w:t xml:space="preserve"> 2004;114: 1485–91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Gowda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RV,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Henk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JM,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KL,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Sykes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Swindell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Slevin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NJ.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for T1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glottic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Christie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Royal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Marsden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Radiother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2003;68:105–11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Thomas</w:t>
      </w:r>
      <w:proofErr w:type="spellEnd"/>
      <w:r w:rsidR="006C4DD5">
        <w:rPr>
          <w:rFonts w:ascii="Times New Roman" w:hAnsi="Times New Roman" w:cs="Times New Roman"/>
          <w:sz w:val="24"/>
          <w:szCs w:val="24"/>
        </w:rPr>
        <w:t xml:space="preserve"> </w:t>
      </w:r>
      <w:r w:rsidR="009B6F48" w:rsidRPr="009B6F48">
        <w:rPr>
          <w:rFonts w:ascii="Times New Roman" w:hAnsi="Times New Roman" w:cs="Times New Roman"/>
          <w:sz w:val="24"/>
          <w:szCs w:val="24"/>
        </w:rPr>
        <w:t>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Basavaiah</w:t>
      </w:r>
      <w:proofErr w:type="spellEnd"/>
      <w:r w:rsidR="006C4DD5">
        <w:rPr>
          <w:rFonts w:ascii="Times New Roman" w:hAnsi="Times New Roman" w:cs="Times New Roman"/>
          <w:sz w:val="24"/>
          <w:szCs w:val="24"/>
        </w:rPr>
        <w:t xml:space="preserve"> </w:t>
      </w:r>
      <w:r w:rsidR="009B6F48" w:rsidRPr="009B6F48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Mehanna</w:t>
      </w:r>
      <w:proofErr w:type="spellEnd"/>
      <w:r w:rsidR="006C4DD5">
        <w:rPr>
          <w:rFonts w:ascii="Times New Roman" w:hAnsi="Times New Roman" w:cs="Times New Roman"/>
          <w:sz w:val="24"/>
          <w:szCs w:val="24"/>
        </w:rPr>
        <w:t xml:space="preserve"> </w:t>
      </w:r>
      <w:r w:rsidR="009B6F48" w:rsidRPr="009B6F48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="006C4DD5">
        <w:rPr>
          <w:rFonts w:ascii="Times New Roman" w:hAnsi="Times New Roman" w:cs="Times New Roman"/>
          <w:sz w:val="24"/>
          <w:szCs w:val="24"/>
        </w:rPr>
        <w:t xml:space="preserve"> </w:t>
      </w:r>
      <w:r w:rsidR="009B6F48" w:rsidRPr="009B6F48">
        <w:rPr>
          <w:rFonts w:ascii="Times New Roman" w:hAnsi="Times New Roman" w:cs="Times New Roman"/>
          <w:sz w:val="24"/>
          <w:szCs w:val="24"/>
        </w:rPr>
        <w:t>H,</w:t>
      </w:r>
      <w:r w:rsidR="006C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Paleri</w:t>
      </w:r>
      <w:proofErr w:type="spellEnd"/>
      <w:r w:rsidR="006C4DD5">
        <w:rPr>
          <w:rFonts w:ascii="Times New Roman" w:hAnsi="Times New Roman" w:cs="Times New Roman"/>
          <w:sz w:val="24"/>
          <w:szCs w:val="24"/>
        </w:rPr>
        <w:t xml:space="preserve"> </w:t>
      </w:r>
      <w:r w:rsidR="009B6F48" w:rsidRPr="009B6F48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Laryngectomy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48" w:rsidRPr="009B6F4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9B6F48" w:rsidRPr="009B6F48">
        <w:rPr>
          <w:rFonts w:ascii="Times New Roman" w:hAnsi="Times New Roman" w:cs="Times New Roman"/>
          <w:sz w:val="24"/>
          <w:szCs w:val="24"/>
        </w:rPr>
        <w:t>: a</w:t>
      </w:r>
      <w:r w:rsidRPr="00CE341A"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literature.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2012;38:203–11. </w:t>
      </w:r>
    </w:p>
    <w:p w:rsidR="00CE341A" w:rsidRDefault="00D44F3C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Paleri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Thomas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Basavaiah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Drinnan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Mehanna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Oncologic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laryngectomy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radiorecurrent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literature. </w:t>
      </w:r>
      <w:proofErr w:type="spellStart"/>
      <w:r w:rsidR="00CE341A"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CE341A" w:rsidRPr="00CE341A">
        <w:rPr>
          <w:rFonts w:ascii="Times New Roman" w:hAnsi="Times New Roman" w:cs="Times New Roman"/>
          <w:sz w:val="24"/>
          <w:szCs w:val="24"/>
        </w:rPr>
        <w:t xml:space="preserve"> 2011;117:2668–76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8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Ambrosch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microsurgery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laryngealcancer.Curr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OpinOtolaryngolHeadNeck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Surg2007; 15:82–8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9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Veterans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Group.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Induction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N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 Med 1991;324:1685–90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10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Forastiere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Goepfert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H, Maor M,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TF, Weber R, Morrison W et al.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Concurrent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for organ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laryngeal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N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 Med 2003;349:2091–8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11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Forastiere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Q, Weber RS, Maor MH,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Goepfert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TFet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al.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RTOG 91-11: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acomparison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nonsurgical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strategiesto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preserve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larynx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patientswithlocallyadvancedlarynxcancer.JClinOncol2013; 31:845–52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12</w:t>
      </w:r>
      <w:r w:rsidR="00D44F3C">
        <w:rPr>
          <w:rFonts w:ascii="Times New Roman" w:hAnsi="Times New Roman" w:cs="Times New Roman"/>
          <w:sz w:val="24"/>
          <w:szCs w:val="24"/>
        </w:rPr>
        <w:t xml:space="preserve">. 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Pignon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JP, le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Maitre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Maillard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Bourhis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J. Meta-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(MACH-NC):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on 93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17,346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Radiother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2009;92:4–14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Machtay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Moughan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Trotti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AS, Weber RS,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Cooper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JS et al.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severe late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toxicity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concurrent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chemoradiation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locally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RTOG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2008;26:3582–9 </w:t>
      </w:r>
    </w:p>
    <w:p w:rsidR="009B6F48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14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Bonner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Harari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PM,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Giralt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Cohen RB,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CU, Sur RK et al.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cetuximab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locoregionally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>: 5-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cetuximab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rash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2010;11:21–8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15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Monnerat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Faivre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Temam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Bourhis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for new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induction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locally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advancedheadandneckcancers.AnnOncol2002;13:995–1006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16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Blanchard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Bourhis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Lacas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Posner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MR,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Vermorken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JB,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Hernandez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JJ et al.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Taxane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cisplatin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fluorouracil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induction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locally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data meta-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group. J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2013;31:2854–60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17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Bourhis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Overgaard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Audry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KK,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Saunders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Bernier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 et al.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Hyperfractionated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accelerated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>: a meta-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2006;368:843–54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18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Mehanna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WL,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McConkey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CC,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Robinson M,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 et al. PETCT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dissection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N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 Med 2016;374: 1444–54.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19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Bernier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Domenge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Ozsahin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Matuszewska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Lefèbvre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RH et al.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Postoperative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irradiation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concomitant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locally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N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 Med 2004;350:1945–52 </w:t>
      </w:r>
    </w:p>
    <w:p w:rsidR="00CE341A" w:rsidRDefault="00CE341A" w:rsidP="00E62E2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1A">
        <w:rPr>
          <w:rFonts w:ascii="Times New Roman" w:hAnsi="Times New Roman" w:cs="Times New Roman"/>
          <w:sz w:val="24"/>
          <w:szCs w:val="24"/>
        </w:rPr>
        <w:t>20</w:t>
      </w:r>
      <w:r w:rsidR="00D44F3C">
        <w:rPr>
          <w:rFonts w:ascii="Times New Roman" w:hAnsi="Times New Roman" w:cs="Times New Roman"/>
          <w:sz w:val="24"/>
          <w:szCs w:val="24"/>
        </w:rPr>
        <w:t>.</w:t>
      </w:r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Cooper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JS,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TF,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Forastiere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Jacobs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Campbell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BH,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Saxman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SB et al.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Postoperative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concurrent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. N </w:t>
      </w:r>
      <w:proofErr w:type="spellStart"/>
      <w:r w:rsidRPr="00CE341A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CE341A">
        <w:rPr>
          <w:rFonts w:ascii="Times New Roman" w:hAnsi="Times New Roman" w:cs="Times New Roman"/>
          <w:sz w:val="24"/>
          <w:szCs w:val="24"/>
        </w:rPr>
        <w:t xml:space="preserve"> J Med 2004;350:1937–44</w:t>
      </w:r>
    </w:p>
    <w:p w:rsidR="006C40BB" w:rsidRDefault="006C40BB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E26" w:rsidRPr="00E62E26" w:rsidRDefault="00E62E26" w:rsidP="00E62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E26" w:rsidRPr="00E62E26" w:rsidSect="00A802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E0" w:rsidRDefault="004105E0" w:rsidP="00155370">
      <w:pPr>
        <w:spacing w:after="0" w:line="240" w:lineRule="auto"/>
      </w:pPr>
      <w:r>
        <w:separator/>
      </w:r>
    </w:p>
  </w:endnote>
  <w:endnote w:type="continuationSeparator" w:id="0">
    <w:p w:rsidR="004105E0" w:rsidRDefault="004105E0" w:rsidP="0015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47626"/>
      <w:docPartObj>
        <w:docPartGallery w:val="Page Numbers (Bottom of Page)"/>
        <w:docPartUnique/>
      </w:docPartObj>
    </w:sdtPr>
    <w:sdtContent>
      <w:p w:rsidR="004105E0" w:rsidRDefault="00C31495">
        <w:pPr>
          <w:pStyle w:val="Footer"/>
          <w:jc w:val="right"/>
        </w:pPr>
        <w:fldSimple w:instr=" PAGE   \* MERGEFORMAT ">
          <w:r w:rsidR="009B3D96">
            <w:rPr>
              <w:noProof/>
            </w:rPr>
            <w:t>7</w:t>
          </w:r>
        </w:fldSimple>
      </w:p>
    </w:sdtContent>
  </w:sdt>
  <w:p w:rsidR="004105E0" w:rsidRDefault="00410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E0" w:rsidRDefault="004105E0" w:rsidP="00155370">
      <w:pPr>
        <w:spacing w:after="0" w:line="240" w:lineRule="auto"/>
      </w:pPr>
      <w:r>
        <w:separator/>
      </w:r>
    </w:p>
  </w:footnote>
  <w:footnote w:type="continuationSeparator" w:id="0">
    <w:p w:rsidR="004105E0" w:rsidRDefault="004105E0" w:rsidP="0015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E26"/>
    <w:rsid w:val="00010A9F"/>
    <w:rsid w:val="00011C99"/>
    <w:rsid w:val="000429C8"/>
    <w:rsid w:val="00042B98"/>
    <w:rsid w:val="00115977"/>
    <w:rsid w:val="00126F3E"/>
    <w:rsid w:val="00155370"/>
    <w:rsid w:val="001A4F6D"/>
    <w:rsid w:val="001E7627"/>
    <w:rsid w:val="00341117"/>
    <w:rsid w:val="0034127F"/>
    <w:rsid w:val="00385C9C"/>
    <w:rsid w:val="003A1D1C"/>
    <w:rsid w:val="004105E0"/>
    <w:rsid w:val="00421B7F"/>
    <w:rsid w:val="004B61E1"/>
    <w:rsid w:val="004C335E"/>
    <w:rsid w:val="005A27A6"/>
    <w:rsid w:val="00653851"/>
    <w:rsid w:val="00661233"/>
    <w:rsid w:val="006C40BB"/>
    <w:rsid w:val="006C4DD5"/>
    <w:rsid w:val="007A1CC3"/>
    <w:rsid w:val="007C7A06"/>
    <w:rsid w:val="007F4D1B"/>
    <w:rsid w:val="007F6B78"/>
    <w:rsid w:val="009100CE"/>
    <w:rsid w:val="00910D6F"/>
    <w:rsid w:val="00954C63"/>
    <w:rsid w:val="009B3D96"/>
    <w:rsid w:val="009B6F48"/>
    <w:rsid w:val="009D2FBB"/>
    <w:rsid w:val="009E4AB0"/>
    <w:rsid w:val="00A802F3"/>
    <w:rsid w:val="00A86F39"/>
    <w:rsid w:val="00AE067E"/>
    <w:rsid w:val="00B11C2C"/>
    <w:rsid w:val="00B350FB"/>
    <w:rsid w:val="00B61160"/>
    <w:rsid w:val="00BA3A84"/>
    <w:rsid w:val="00C31495"/>
    <w:rsid w:val="00CC2D85"/>
    <w:rsid w:val="00CE341A"/>
    <w:rsid w:val="00D35610"/>
    <w:rsid w:val="00D44F3C"/>
    <w:rsid w:val="00D846F2"/>
    <w:rsid w:val="00E62E26"/>
    <w:rsid w:val="00EF39AF"/>
    <w:rsid w:val="00EF585E"/>
    <w:rsid w:val="00FC4489"/>
    <w:rsid w:val="00FC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70"/>
  </w:style>
  <w:style w:type="paragraph" w:styleId="Footer">
    <w:name w:val="footer"/>
    <w:basedOn w:val="Normal"/>
    <w:link w:val="FooterChar"/>
    <w:uiPriority w:val="99"/>
    <w:unhideWhenUsed/>
    <w:rsid w:val="0015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70"/>
  </w:style>
  <w:style w:type="table" w:styleId="TableGrid">
    <w:name w:val="Table Grid"/>
    <w:basedOn w:val="TableNormal"/>
    <w:uiPriority w:val="59"/>
    <w:rsid w:val="009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98C21-61C5-4A28-9F5F-C013A44A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3112</Words>
  <Characters>17742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2020-03-08T13:38:00Z</dcterms:created>
  <dcterms:modified xsi:type="dcterms:W3CDTF">2020-03-08T13:38:00Z</dcterms:modified>
</cp:coreProperties>
</file>